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71295" w14:textId="77777777" w:rsidR="00DE3043" w:rsidRDefault="00DE3043" w:rsidP="00DE3043">
      <w:pPr>
        <w:jc w:val="center"/>
        <w:rPr>
          <w:rFonts w:ascii="Karla" w:eastAsia="Karla" w:hAnsi="Karla" w:cs="Karla"/>
          <w:b/>
          <w:sz w:val="24"/>
          <w:szCs w:val="24"/>
          <w:lang w:val="fr-FR"/>
        </w:rPr>
      </w:pPr>
      <w:r w:rsidRPr="00881597">
        <w:rPr>
          <w:rFonts w:ascii="Karla" w:eastAsia="Karla" w:hAnsi="Karla" w:cs="Karla"/>
          <w:b/>
          <w:sz w:val="24"/>
          <w:szCs w:val="24"/>
          <w:lang w:val="fr-FR"/>
        </w:rPr>
        <w:t>CMOC établit des résultats record en 2024 et entre dans le Top 10 mondial des producteurs de cuivre</w:t>
      </w:r>
    </w:p>
    <w:p w14:paraId="3EC2CA35" w14:textId="77777777" w:rsidR="0072766F" w:rsidRPr="00881597" w:rsidRDefault="0072766F" w:rsidP="00DE3043">
      <w:pPr>
        <w:jc w:val="center"/>
        <w:rPr>
          <w:rFonts w:ascii="Karla" w:eastAsia="Karla" w:hAnsi="Karla" w:cs="Karla"/>
          <w:b/>
          <w:sz w:val="24"/>
          <w:szCs w:val="24"/>
          <w:lang w:val="fr-FR"/>
        </w:rPr>
      </w:pPr>
    </w:p>
    <w:p w14:paraId="1C6C21E4" w14:textId="77777777" w:rsidR="008B0EB7" w:rsidRPr="00881597" w:rsidRDefault="00000000">
      <w:pPr>
        <w:jc w:val="center"/>
        <w:rPr>
          <w:rFonts w:ascii="Karla" w:eastAsia="Karla" w:hAnsi="Karla" w:cs="Karla"/>
          <w:b/>
          <w:lang w:val="fr-FR"/>
        </w:rPr>
      </w:pPr>
      <w:r w:rsidRPr="00881597">
        <w:rPr>
          <w:rFonts w:ascii="Karla" w:eastAsia="Karla" w:hAnsi="Karla" w:cs="Karla"/>
          <w:b/>
          <w:noProof/>
          <w:lang w:val="fr-FR"/>
        </w:rPr>
        <w:drawing>
          <wp:inline distT="0" distB="0" distL="0" distR="0" wp14:anchorId="2194B243" wp14:editId="60878A6E">
            <wp:extent cx="3266836" cy="667267"/>
            <wp:effectExtent l="0" t="0" r="0" b="0"/>
            <wp:docPr id="6040565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66836" cy="667267"/>
                    </a:xfrm>
                    <a:prstGeom prst="rect">
                      <a:avLst/>
                    </a:prstGeom>
                    <a:ln/>
                  </pic:spPr>
                </pic:pic>
              </a:graphicData>
            </a:graphic>
          </wp:inline>
        </w:drawing>
      </w:r>
    </w:p>
    <w:p w14:paraId="7B5CF9CC" w14:textId="77777777" w:rsidR="008B0EB7" w:rsidRPr="00881597" w:rsidRDefault="008B0EB7">
      <w:pPr>
        <w:rPr>
          <w:rFonts w:ascii="Karla" w:eastAsia="Karla" w:hAnsi="Karla" w:cs="Karla"/>
          <w:lang w:val="fr-FR"/>
        </w:rPr>
      </w:pPr>
    </w:p>
    <w:p w14:paraId="36C9ACB1" w14:textId="387BC51A" w:rsidR="008B0EB7" w:rsidRPr="00881597" w:rsidRDefault="00000000">
      <w:pPr>
        <w:rPr>
          <w:rFonts w:ascii="Karla" w:eastAsia="Karla" w:hAnsi="Karla" w:cs="Karla"/>
          <w:lang w:val="fr-FR"/>
        </w:rPr>
      </w:pPr>
      <w:r w:rsidRPr="00881597">
        <w:rPr>
          <w:rFonts w:ascii="Karla" w:eastAsia="Karla" w:hAnsi="Karla" w:cs="Karla"/>
          <w:lang w:val="fr-FR"/>
        </w:rPr>
        <w:t>[</w:t>
      </w:r>
      <w:r w:rsidR="00E95A2A">
        <w:rPr>
          <w:rFonts w:ascii="Karla" w:eastAsia="Karla" w:hAnsi="Karla" w:cs="Karla"/>
          <w:lang w:val="fr-FR"/>
        </w:rPr>
        <w:t>0</w:t>
      </w:r>
      <w:r w:rsidR="00E16FC2">
        <w:rPr>
          <w:rFonts w:ascii="Karla" w:eastAsia="Karla" w:hAnsi="Karla" w:cs="Karla"/>
          <w:lang w:val="fr-FR"/>
        </w:rPr>
        <w:t>7</w:t>
      </w:r>
      <w:r w:rsidR="00E95A2A">
        <w:rPr>
          <w:rFonts w:ascii="Karla" w:eastAsia="Karla" w:hAnsi="Karla" w:cs="Karla"/>
          <w:lang w:val="fr-FR"/>
        </w:rPr>
        <w:t xml:space="preserve"> avril </w:t>
      </w:r>
      <w:r w:rsidRPr="00881597">
        <w:rPr>
          <w:rFonts w:ascii="Karla" w:eastAsia="Karla" w:hAnsi="Karla" w:cs="Karla"/>
          <w:lang w:val="fr-FR"/>
        </w:rPr>
        <w:t>202</w:t>
      </w:r>
      <w:r w:rsidR="00E95A2A">
        <w:rPr>
          <w:rFonts w:ascii="Karla" w:eastAsia="Karla" w:hAnsi="Karla" w:cs="Karla"/>
          <w:lang w:val="fr-FR"/>
        </w:rPr>
        <w:t>5</w:t>
      </w:r>
      <w:r w:rsidRPr="00881597">
        <w:rPr>
          <w:rFonts w:ascii="Karla" w:eastAsia="Karla" w:hAnsi="Karla" w:cs="Karla"/>
          <w:lang w:val="fr-FR"/>
        </w:rPr>
        <w:t xml:space="preserve">, Shanghai, Chine] - </w:t>
      </w:r>
      <w:r w:rsidR="00DE3043" w:rsidRPr="00881597">
        <w:rPr>
          <w:rFonts w:ascii="Karla" w:eastAsia="Karla" w:hAnsi="Karla" w:cs="Karla"/>
          <w:lang w:val="fr-FR"/>
        </w:rPr>
        <w:t>CMOC Group Limited (CMOC) a annoncé le 21 mars ses résultats financiers et opérationnels pour l’exercice 2024, affichant des records en matière de revenus, de rentabilité et de production. L’entreprise renforce ainsi sa position dans l’industrie minière mondiale, tout en poursuivant son engagement en faveur d’une excellence opérationnelle durable.</w:t>
      </w:r>
    </w:p>
    <w:p w14:paraId="09CACBFB" w14:textId="77777777" w:rsidR="00D422D3" w:rsidRPr="00881597" w:rsidRDefault="00D422D3">
      <w:pPr>
        <w:rPr>
          <w:rFonts w:ascii="Karla" w:eastAsia="Karla" w:hAnsi="Karla" w:cs="Karla"/>
          <w:lang w:val="fr-FR"/>
        </w:rPr>
      </w:pPr>
    </w:p>
    <w:p w14:paraId="71F2D684" w14:textId="72658ABB" w:rsidR="008B0EB7" w:rsidRPr="00881597" w:rsidRDefault="00000000">
      <w:pPr>
        <w:rPr>
          <w:rFonts w:ascii="Karla" w:eastAsia="Karla" w:hAnsi="Karla" w:cs="Karla"/>
          <w:b/>
          <w:lang w:val="fr-FR"/>
        </w:rPr>
      </w:pPr>
      <w:r w:rsidRPr="00881597">
        <w:rPr>
          <w:rFonts w:ascii="Karla" w:eastAsia="Karla" w:hAnsi="Karla" w:cs="Karla"/>
          <w:b/>
          <w:lang w:val="fr-FR"/>
        </w:rPr>
        <w:t>Principales données financières</w:t>
      </w:r>
      <w:r w:rsidR="00D422D3" w:rsidRPr="00881597">
        <w:rPr>
          <w:rFonts w:ascii="Karla" w:eastAsia="Karla" w:hAnsi="Karla" w:cs="Karla"/>
          <w:b/>
          <w:lang w:val="fr-FR"/>
        </w:rPr>
        <w:t xml:space="preserve"> </w:t>
      </w:r>
    </w:p>
    <w:p w14:paraId="3A053B48" w14:textId="77777777" w:rsidR="00D422D3" w:rsidRPr="00881597" w:rsidRDefault="00D422D3" w:rsidP="00D422D3">
      <w:pPr>
        <w:rPr>
          <w:rFonts w:ascii="Karla" w:eastAsia="Karla" w:hAnsi="Karla" w:cs="Karla"/>
          <w:lang w:val="fr-FR"/>
        </w:rPr>
      </w:pPr>
    </w:p>
    <w:p w14:paraId="684C5DF7" w14:textId="4345BA35" w:rsidR="00D422D3" w:rsidRPr="00881597" w:rsidRDefault="00D422D3" w:rsidP="00D422D3">
      <w:pPr>
        <w:rPr>
          <w:rFonts w:ascii="Karla" w:eastAsia="Karla" w:hAnsi="Karla" w:cs="Karla"/>
          <w:bCs/>
          <w:lang w:val="fr-FR"/>
        </w:rPr>
      </w:pPr>
      <w:r w:rsidRPr="00881597">
        <w:rPr>
          <w:rFonts w:ascii="Karla" w:eastAsia="Karla" w:hAnsi="Karla" w:cs="Karla"/>
          <w:bCs/>
          <w:lang w:val="fr-FR"/>
        </w:rPr>
        <w:t xml:space="preserve">En 2024, CMOC a </w:t>
      </w:r>
      <w:r w:rsidR="00DE3043" w:rsidRPr="00881597">
        <w:rPr>
          <w:rFonts w:ascii="Karla" w:eastAsia="Karla" w:hAnsi="Karla" w:cs="Karla"/>
          <w:bCs/>
          <w:lang w:val="fr-FR"/>
        </w:rPr>
        <w:t>réalisé</w:t>
      </w:r>
      <w:r w:rsidRPr="00881597">
        <w:rPr>
          <w:rFonts w:ascii="Karla" w:eastAsia="Karla" w:hAnsi="Karla" w:cs="Karla"/>
          <w:bCs/>
          <w:lang w:val="fr-FR"/>
        </w:rPr>
        <w:t xml:space="preserve"> un </w:t>
      </w:r>
      <w:r w:rsidRPr="00881597">
        <w:rPr>
          <w:rFonts w:ascii="Karla" w:eastAsia="Karla" w:hAnsi="Karla" w:cs="Karla"/>
          <w:b/>
          <w:lang w:val="fr-FR"/>
        </w:rPr>
        <w:t>bénéfice net part du groupe</w:t>
      </w:r>
      <w:r w:rsidRPr="00881597">
        <w:rPr>
          <w:rFonts w:ascii="Karla" w:eastAsia="Karla" w:hAnsi="Karla" w:cs="Karla"/>
          <w:bCs/>
          <w:lang w:val="fr-FR"/>
        </w:rPr>
        <w:t xml:space="preserve"> de </w:t>
      </w:r>
      <w:r w:rsidRPr="00881597">
        <w:rPr>
          <w:rFonts w:ascii="Karla" w:eastAsia="Karla" w:hAnsi="Karla" w:cs="Karla"/>
          <w:b/>
          <w:lang w:val="fr-FR"/>
        </w:rPr>
        <w:t>1,90</w:t>
      </w:r>
      <w:r w:rsidRPr="00881597">
        <w:rPr>
          <w:rFonts w:ascii="Times New Roman" w:eastAsia="Karla" w:hAnsi="Times New Roman" w:cs="Times New Roman"/>
          <w:b/>
          <w:lang w:val="fr-FR"/>
        </w:rPr>
        <w:t> </w:t>
      </w:r>
      <w:r w:rsidRPr="00881597">
        <w:rPr>
          <w:rFonts w:ascii="Karla" w:eastAsia="Karla" w:hAnsi="Karla" w:cs="Karla"/>
          <w:b/>
          <w:lang w:val="fr-FR"/>
        </w:rPr>
        <w:t>milliard USD</w:t>
      </w:r>
      <w:r w:rsidRPr="00881597">
        <w:rPr>
          <w:rFonts w:ascii="Karla" w:eastAsia="Karla" w:hAnsi="Karla" w:cs="Karla"/>
          <w:bCs/>
          <w:lang w:val="fr-FR"/>
        </w:rPr>
        <w:t>, en hausse de 64,0</w:t>
      </w:r>
      <w:r w:rsidRPr="00881597">
        <w:rPr>
          <w:rFonts w:ascii="Times New Roman" w:eastAsia="Karla" w:hAnsi="Times New Roman" w:cs="Times New Roman"/>
          <w:bCs/>
          <w:lang w:val="fr-FR"/>
        </w:rPr>
        <w:t> </w:t>
      </w:r>
      <w:r w:rsidRPr="00881597">
        <w:rPr>
          <w:rFonts w:ascii="Karla" w:eastAsia="Karla" w:hAnsi="Karla" w:cs="Karla"/>
          <w:bCs/>
          <w:lang w:val="fr-FR"/>
        </w:rPr>
        <w:t>% par rapport à 2023</w:t>
      </w:r>
      <w:r w:rsidR="00DE3043" w:rsidRPr="00881597">
        <w:rPr>
          <w:rFonts w:ascii="Karla" w:eastAsia="Karla" w:hAnsi="Karla" w:cs="Karla"/>
          <w:bCs/>
          <w:lang w:val="fr-FR"/>
        </w:rPr>
        <w:t>.</w:t>
      </w:r>
      <w:r w:rsidRPr="00881597">
        <w:rPr>
          <w:rFonts w:ascii="Karla" w:eastAsia="Karla" w:hAnsi="Karla" w:cs="Karla"/>
          <w:bCs/>
          <w:lang w:val="fr-FR"/>
        </w:rPr>
        <w:t xml:space="preserve"> </w:t>
      </w:r>
      <w:r w:rsidR="00DE3043" w:rsidRPr="00881597">
        <w:rPr>
          <w:rFonts w:ascii="Karla" w:eastAsia="Karla" w:hAnsi="Karla" w:cs="Karla"/>
          <w:bCs/>
          <w:lang w:val="fr-FR"/>
        </w:rPr>
        <w:t xml:space="preserve">Le </w:t>
      </w:r>
      <w:r w:rsidR="00DE3043" w:rsidRPr="00881597">
        <w:rPr>
          <w:rFonts w:ascii="Karla" w:eastAsia="Karla" w:hAnsi="Karla" w:cs="Karla"/>
          <w:b/>
          <w:lang w:val="fr-FR"/>
        </w:rPr>
        <w:t>chiffre d’affaires</w:t>
      </w:r>
      <w:r w:rsidR="00DE3043" w:rsidRPr="00881597">
        <w:rPr>
          <w:rFonts w:ascii="Karla" w:eastAsia="Karla" w:hAnsi="Karla" w:cs="Karla"/>
          <w:bCs/>
          <w:lang w:val="fr-FR"/>
        </w:rPr>
        <w:t xml:space="preserve"> atteint </w:t>
      </w:r>
      <w:r w:rsidR="00DE3043" w:rsidRPr="00881597">
        <w:rPr>
          <w:rFonts w:ascii="Karla" w:eastAsia="Karla" w:hAnsi="Karla" w:cs="Karla"/>
          <w:b/>
          <w:lang w:val="fr-FR"/>
        </w:rPr>
        <w:t>29,85 milliards USD</w:t>
      </w:r>
      <w:r w:rsidR="00DE3043" w:rsidRPr="00881597">
        <w:rPr>
          <w:rFonts w:ascii="Karla" w:eastAsia="Karla" w:hAnsi="Karla" w:cs="Karla"/>
          <w:bCs/>
          <w:lang w:val="fr-FR"/>
        </w:rPr>
        <w:t xml:space="preserve"> (+14,37 %) et l</w:t>
      </w:r>
      <w:r w:rsidRPr="00881597">
        <w:rPr>
          <w:rFonts w:ascii="Karla" w:eastAsia="Karla" w:hAnsi="Karla" w:cs="Karla"/>
          <w:bCs/>
          <w:lang w:val="fr-FR"/>
        </w:rPr>
        <w:t xml:space="preserve">e </w:t>
      </w:r>
      <w:r w:rsidRPr="00881597">
        <w:rPr>
          <w:rFonts w:ascii="Karla" w:eastAsia="Karla" w:hAnsi="Karla" w:cs="Karla"/>
          <w:b/>
          <w:lang w:val="fr-FR"/>
        </w:rPr>
        <w:t>flux de trésorerie d’exploitation</w:t>
      </w:r>
      <w:r w:rsidRPr="00881597">
        <w:rPr>
          <w:rFonts w:ascii="Karla" w:eastAsia="Karla" w:hAnsi="Karla" w:cs="Karla"/>
          <w:bCs/>
          <w:lang w:val="fr-FR"/>
        </w:rPr>
        <w:t xml:space="preserve"> a bondi de 108,38%, à </w:t>
      </w:r>
      <w:r w:rsidRPr="00881597">
        <w:rPr>
          <w:rFonts w:ascii="Karla" w:eastAsia="Karla" w:hAnsi="Karla" w:cs="Karla"/>
          <w:b/>
          <w:lang w:val="fr-FR"/>
        </w:rPr>
        <w:t>4,54</w:t>
      </w:r>
      <w:r w:rsidRPr="00881597">
        <w:rPr>
          <w:rFonts w:ascii="Times New Roman" w:eastAsia="Karla" w:hAnsi="Times New Roman" w:cs="Times New Roman"/>
          <w:b/>
          <w:lang w:val="fr-FR"/>
        </w:rPr>
        <w:t> </w:t>
      </w:r>
      <w:r w:rsidRPr="00881597">
        <w:rPr>
          <w:rFonts w:ascii="Karla" w:eastAsia="Karla" w:hAnsi="Karla" w:cs="Karla"/>
          <w:b/>
          <w:lang w:val="fr-FR"/>
        </w:rPr>
        <w:t>milliards USD</w:t>
      </w:r>
      <w:r w:rsidR="00DE3043" w:rsidRPr="00881597">
        <w:rPr>
          <w:rFonts w:ascii="Karla" w:eastAsia="Karla" w:hAnsi="Karla" w:cs="Karla"/>
          <w:bCs/>
          <w:lang w:val="fr-FR"/>
        </w:rPr>
        <w:t>.</w:t>
      </w:r>
      <w:r w:rsidRPr="00881597">
        <w:rPr>
          <w:rFonts w:ascii="Karla" w:eastAsia="Karla" w:hAnsi="Karla" w:cs="Karla"/>
          <w:bCs/>
          <w:lang w:val="fr-FR"/>
        </w:rPr>
        <w:t xml:space="preserve"> </w:t>
      </w:r>
      <w:r w:rsidR="00DE3043" w:rsidRPr="00881597">
        <w:rPr>
          <w:rFonts w:ascii="Karla" w:eastAsia="Karla" w:hAnsi="Karla" w:cs="Karla"/>
          <w:bCs/>
          <w:lang w:val="fr-FR"/>
        </w:rPr>
        <w:t xml:space="preserve">Ces performances reflètent la solidité des opérations minières du groupe. </w:t>
      </w:r>
      <w:r w:rsidRPr="00881597">
        <w:rPr>
          <w:rFonts w:ascii="Karla" w:eastAsia="Karla" w:hAnsi="Karla" w:cs="Karla"/>
          <w:bCs/>
          <w:lang w:val="fr-FR"/>
        </w:rPr>
        <w:t xml:space="preserve">Parallèlement, la filiale </w:t>
      </w:r>
      <w:r w:rsidRPr="00881597">
        <w:rPr>
          <w:rFonts w:ascii="Karla" w:eastAsia="Karla" w:hAnsi="Karla" w:cs="Karla"/>
          <w:b/>
          <w:lang w:val="fr-FR"/>
        </w:rPr>
        <w:t>IXM</w:t>
      </w:r>
      <w:r w:rsidRPr="00881597">
        <w:rPr>
          <w:rFonts w:ascii="Karla" w:eastAsia="Karla" w:hAnsi="Karla" w:cs="Karla"/>
          <w:bCs/>
          <w:lang w:val="fr-FR"/>
        </w:rPr>
        <w:t xml:space="preserve"> a vu son bénéfice net croître de 48</w:t>
      </w:r>
      <w:r w:rsidRPr="00881597">
        <w:rPr>
          <w:rFonts w:ascii="Times New Roman" w:eastAsia="Karla" w:hAnsi="Times New Roman" w:cs="Times New Roman"/>
          <w:bCs/>
          <w:lang w:val="fr-FR"/>
        </w:rPr>
        <w:t> </w:t>
      </w:r>
      <w:r w:rsidRPr="00881597">
        <w:rPr>
          <w:rFonts w:ascii="Karla" w:eastAsia="Karla" w:hAnsi="Karla" w:cs="Karla"/>
          <w:bCs/>
          <w:lang w:val="fr-FR"/>
        </w:rPr>
        <w:t>%, pour s’établir à 189,6</w:t>
      </w:r>
      <w:r w:rsidRPr="00881597">
        <w:rPr>
          <w:rFonts w:ascii="Times New Roman" w:eastAsia="Karla" w:hAnsi="Times New Roman" w:cs="Times New Roman"/>
          <w:bCs/>
          <w:lang w:val="fr-FR"/>
        </w:rPr>
        <w:t> </w:t>
      </w:r>
      <w:r w:rsidRPr="00881597">
        <w:rPr>
          <w:rFonts w:ascii="Karla" w:eastAsia="Karla" w:hAnsi="Karla" w:cs="Karla"/>
          <w:bCs/>
          <w:lang w:val="fr-FR"/>
        </w:rPr>
        <w:t>millions USD.</w:t>
      </w:r>
    </w:p>
    <w:p w14:paraId="2120E137" w14:textId="77777777" w:rsidR="00D422D3" w:rsidRPr="00881597" w:rsidRDefault="00D422D3" w:rsidP="00D422D3">
      <w:pPr>
        <w:rPr>
          <w:rFonts w:ascii="Karla" w:eastAsia="Karla" w:hAnsi="Karla" w:cs="Karla"/>
          <w:bCs/>
          <w:lang w:val="fr-FR"/>
        </w:rPr>
      </w:pPr>
    </w:p>
    <w:p w14:paraId="20142D6A" w14:textId="77777777" w:rsidR="00D422D3" w:rsidRPr="00881597" w:rsidRDefault="00D422D3">
      <w:pPr>
        <w:rPr>
          <w:rFonts w:ascii="Karla" w:eastAsia="Karla" w:hAnsi="Karla" w:cs="Karla"/>
          <w:b/>
          <w:lang w:val="fr-FR"/>
        </w:rPr>
      </w:pPr>
    </w:p>
    <w:p w14:paraId="51D3D54E" w14:textId="6E173494" w:rsidR="008B0EB7" w:rsidRPr="00881597" w:rsidRDefault="00000000">
      <w:pPr>
        <w:rPr>
          <w:rFonts w:ascii="Karla" w:eastAsia="Karla" w:hAnsi="Karla" w:cs="Karla"/>
          <w:b/>
          <w:lang w:val="fr-FR"/>
        </w:rPr>
      </w:pPr>
      <w:r w:rsidRPr="00881597">
        <w:rPr>
          <w:rFonts w:ascii="Karla" w:eastAsia="Karla" w:hAnsi="Karla" w:cs="Karla"/>
          <w:b/>
          <w:lang w:val="fr-FR"/>
        </w:rPr>
        <w:t xml:space="preserve">Réalisations opérationnelles : </w:t>
      </w:r>
      <w:r w:rsidR="00D422D3" w:rsidRPr="00881597">
        <w:rPr>
          <w:rFonts w:ascii="Karla" w:eastAsia="Karla" w:hAnsi="Karla" w:cs="Karla"/>
          <w:b/>
          <w:lang w:val="fr-FR"/>
        </w:rPr>
        <w:t>u</w:t>
      </w:r>
      <w:r w:rsidRPr="00881597">
        <w:rPr>
          <w:rFonts w:ascii="Karla" w:eastAsia="Karla" w:hAnsi="Karla" w:cs="Karla"/>
          <w:b/>
          <w:lang w:val="fr-FR"/>
        </w:rPr>
        <w:t xml:space="preserve">n producteur de cuivre parmi les </w:t>
      </w:r>
      <w:r w:rsidR="00D422D3" w:rsidRPr="00881597">
        <w:rPr>
          <w:rFonts w:ascii="Karla" w:eastAsia="Karla" w:hAnsi="Karla" w:cs="Karla"/>
          <w:b/>
          <w:lang w:val="fr-FR"/>
        </w:rPr>
        <w:t>Top 10</w:t>
      </w:r>
      <w:r w:rsidRPr="00881597">
        <w:rPr>
          <w:rFonts w:ascii="Karla" w:eastAsia="Karla" w:hAnsi="Karla" w:cs="Karla"/>
          <w:b/>
          <w:lang w:val="fr-FR"/>
        </w:rPr>
        <w:t xml:space="preserve"> au monde</w:t>
      </w:r>
    </w:p>
    <w:p w14:paraId="76AFD985" w14:textId="77777777" w:rsidR="00D422D3" w:rsidRPr="00881597" w:rsidRDefault="00D422D3" w:rsidP="00D422D3">
      <w:pPr>
        <w:rPr>
          <w:rFonts w:ascii="Karla" w:eastAsia="Karla" w:hAnsi="Karla" w:cs="Karla"/>
          <w:bCs/>
          <w:lang w:val="fr-FR"/>
        </w:rPr>
      </w:pPr>
      <w:bookmarkStart w:id="0" w:name="_heading=h.n28xlgnbe5ka" w:colFirst="0" w:colLast="0"/>
      <w:bookmarkEnd w:id="0"/>
    </w:p>
    <w:p w14:paraId="3A832D8D" w14:textId="114A9B71" w:rsidR="00D422D3" w:rsidRPr="00881597" w:rsidRDefault="00DE3043" w:rsidP="00D422D3">
      <w:pPr>
        <w:rPr>
          <w:rFonts w:ascii="Karla" w:eastAsia="Karla" w:hAnsi="Karla" w:cs="Karla"/>
          <w:bCs/>
          <w:lang w:val="fr-FR"/>
        </w:rPr>
      </w:pPr>
      <w:r w:rsidRPr="00881597">
        <w:rPr>
          <w:rFonts w:ascii="Karla" w:eastAsia="Karla" w:hAnsi="Karla" w:cs="Karla"/>
          <w:bCs/>
          <w:lang w:val="fr-FR"/>
        </w:rPr>
        <w:t>CMOC a produit 650</w:t>
      </w:r>
      <w:r w:rsidRPr="00881597">
        <w:rPr>
          <w:rFonts w:ascii="Times New Roman" w:eastAsia="Karla" w:hAnsi="Times New Roman" w:cs="Times New Roman"/>
          <w:bCs/>
          <w:lang w:val="fr-FR"/>
        </w:rPr>
        <w:t> </w:t>
      </w:r>
      <w:r w:rsidRPr="00881597">
        <w:rPr>
          <w:rFonts w:ascii="Karla" w:eastAsia="Karla" w:hAnsi="Karla" w:cs="Karla"/>
          <w:bCs/>
          <w:lang w:val="fr-FR"/>
        </w:rPr>
        <w:t>161 tonnes de cuivre en 2024, soit une hausse exceptionnelle de 55</w:t>
      </w:r>
      <w:r w:rsidRPr="00881597">
        <w:rPr>
          <w:rFonts w:ascii="Times New Roman" w:eastAsia="Karla" w:hAnsi="Times New Roman" w:cs="Times New Roman"/>
          <w:bCs/>
          <w:lang w:val="fr-FR"/>
        </w:rPr>
        <w:t> </w:t>
      </w:r>
      <w:r w:rsidRPr="00881597">
        <w:rPr>
          <w:rFonts w:ascii="Karla" w:eastAsia="Karla" w:hAnsi="Karla" w:cs="Karla"/>
          <w:bCs/>
          <w:lang w:val="fr-FR"/>
        </w:rPr>
        <w:t xml:space="preserve">% en un an — la plus rapide au monde cette année. Cette progression propulse </w:t>
      </w:r>
      <w:r w:rsidRPr="00881597">
        <w:rPr>
          <w:rFonts w:ascii="Karla" w:eastAsia="Karla" w:hAnsi="Karla" w:cs="Karla"/>
          <w:b/>
          <w:lang w:val="fr-FR"/>
        </w:rPr>
        <w:t>CMOC dans le Top 10 des producteurs mondiaux</w:t>
      </w:r>
      <w:r w:rsidRPr="00881597">
        <w:rPr>
          <w:rFonts w:ascii="Karla" w:eastAsia="Karla" w:hAnsi="Karla" w:cs="Karla"/>
          <w:bCs/>
          <w:lang w:val="fr-FR"/>
        </w:rPr>
        <w:t xml:space="preserve">. </w:t>
      </w:r>
      <w:r w:rsidR="00D422D3" w:rsidRPr="00881597">
        <w:rPr>
          <w:rFonts w:ascii="Karla" w:eastAsia="Karla" w:hAnsi="Karla" w:cs="Karla"/>
          <w:bCs/>
          <w:lang w:val="fr-FR"/>
        </w:rPr>
        <w:t xml:space="preserve">La production de cobalt a </w:t>
      </w:r>
      <w:r w:rsidR="003E1320" w:rsidRPr="00881597">
        <w:rPr>
          <w:rFonts w:ascii="Karla" w:eastAsia="Karla" w:hAnsi="Karla" w:cs="Karla"/>
          <w:bCs/>
          <w:lang w:val="fr-FR"/>
        </w:rPr>
        <w:t>augmenté</w:t>
      </w:r>
      <w:r w:rsidR="00D422D3" w:rsidRPr="00881597">
        <w:rPr>
          <w:rFonts w:ascii="Karla" w:eastAsia="Karla" w:hAnsi="Karla" w:cs="Karla"/>
          <w:bCs/>
          <w:lang w:val="fr-FR"/>
        </w:rPr>
        <w:t xml:space="preserve"> de 106</w:t>
      </w:r>
      <w:r w:rsidR="00D422D3" w:rsidRPr="00881597">
        <w:rPr>
          <w:rFonts w:ascii="Times New Roman" w:eastAsia="Karla" w:hAnsi="Times New Roman" w:cs="Times New Roman"/>
          <w:bCs/>
          <w:lang w:val="fr-FR"/>
        </w:rPr>
        <w:t> </w:t>
      </w:r>
      <w:r w:rsidR="00D422D3" w:rsidRPr="00881597">
        <w:rPr>
          <w:rFonts w:ascii="Karla" w:eastAsia="Karla" w:hAnsi="Karla" w:cs="Karla"/>
          <w:bCs/>
          <w:lang w:val="fr-FR"/>
        </w:rPr>
        <w:t>%, pour atteindre 114</w:t>
      </w:r>
      <w:r w:rsidR="00D422D3" w:rsidRPr="00881597">
        <w:rPr>
          <w:rFonts w:ascii="Times New Roman" w:eastAsia="Karla" w:hAnsi="Times New Roman" w:cs="Times New Roman"/>
          <w:bCs/>
          <w:lang w:val="fr-FR"/>
        </w:rPr>
        <w:t> </w:t>
      </w:r>
      <w:r w:rsidR="00D422D3" w:rsidRPr="00881597">
        <w:rPr>
          <w:rFonts w:ascii="Karla" w:eastAsia="Karla" w:hAnsi="Karla" w:cs="Karla"/>
          <w:bCs/>
          <w:lang w:val="fr-FR"/>
        </w:rPr>
        <w:t>165 tonnes, et celle de niobium de 5</w:t>
      </w:r>
      <w:r w:rsidR="00D422D3" w:rsidRPr="00881597">
        <w:rPr>
          <w:rFonts w:ascii="Times New Roman" w:eastAsia="Karla" w:hAnsi="Times New Roman" w:cs="Times New Roman"/>
          <w:bCs/>
          <w:lang w:val="fr-FR"/>
        </w:rPr>
        <w:t> </w:t>
      </w:r>
      <w:r w:rsidR="00D422D3" w:rsidRPr="00881597">
        <w:rPr>
          <w:rFonts w:ascii="Karla" w:eastAsia="Karla" w:hAnsi="Karla" w:cs="Karla"/>
          <w:bCs/>
          <w:lang w:val="fr-FR"/>
        </w:rPr>
        <w:t>%, à 10</w:t>
      </w:r>
      <w:r w:rsidR="00D422D3" w:rsidRPr="00881597">
        <w:rPr>
          <w:rFonts w:ascii="Times New Roman" w:eastAsia="Karla" w:hAnsi="Times New Roman" w:cs="Times New Roman"/>
          <w:bCs/>
          <w:lang w:val="fr-FR"/>
        </w:rPr>
        <w:t> </w:t>
      </w:r>
      <w:r w:rsidR="00D422D3" w:rsidRPr="00881597">
        <w:rPr>
          <w:rFonts w:ascii="Karla" w:eastAsia="Karla" w:hAnsi="Karla" w:cs="Karla"/>
          <w:bCs/>
          <w:lang w:val="fr-FR"/>
        </w:rPr>
        <w:t>024 tonnes. Par ailleurs, CMOC a produit 1,18</w:t>
      </w:r>
      <w:r w:rsidR="00D422D3" w:rsidRPr="00881597">
        <w:rPr>
          <w:rFonts w:ascii="Times New Roman" w:eastAsia="Karla" w:hAnsi="Times New Roman" w:cs="Times New Roman"/>
          <w:bCs/>
          <w:lang w:val="fr-FR"/>
        </w:rPr>
        <w:t> </w:t>
      </w:r>
      <w:r w:rsidR="00D422D3" w:rsidRPr="00881597">
        <w:rPr>
          <w:rFonts w:ascii="Karla" w:eastAsia="Karla" w:hAnsi="Karla" w:cs="Karla"/>
          <w:bCs/>
          <w:lang w:val="fr-FR"/>
        </w:rPr>
        <w:t>million de tonnes d’engrais phosphatés, 8</w:t>
      </w:r>
      <w:r w:rsidR="00D422D3" w:rsidRPr="00881597">
        <w:rPr>
          <w:rFonts w:ascii="Times New Roman" w:eastAsia="Karla" w:hAnsi="Times New Roman" w:cs="Times New Roman"/>
          <w:bCs/>
          <w:lang w:val="fr-FR"/>
        </w:rPr>
        <w:t> </w:t>
      </w:r>
      <w:r w:rsidR="00D422D3" w:rsidRPr="00881597">
        <w:rPr>
          <w:rFonts w:ascii="Karla" w:eastAsia="Karla" w:hAnsi="Karla" w:cs="Karla"/>
          <w:bCs/>
          <w:lang w:val="fr-FR"/>
        </w:rPr>
        <w:t>288 tonnes de tungstène et 15</w:t>
      </w:r>
      <w:r w:rsidR="00D422D3" w:rsidRPr="00881597">
        <w:rPr>
          <w:rFonts w:ascii="Times New Roman" w:eastAsia="Karla" w:hAnsi="Times New Roman" w:cs="Times New Roman"/>
          <w:bCs/>
          <w:lang w:val="fr-FR"/>
        </w:rPr>
        <w:t> </w:t>
      </w:r>
      <w:r w:rsidR="00D422D3" w:rsidRPr="00881597">
        <w:rPr>
          <w:rFonts w:ascii="Karla" w:eastAsia="Karla" w:hAnsi="Karla" w:cs="Karla"/>
          <w:bCs/>
          <w:lang w:val="fr-FR"/>
        </w:rPr>
        <w:t>396 tonnes de molybdène, marquant des gains significatifs d’une année sur l’autre.</w:t>
      </w:r>
    </w:p>
    <w:p w14:paraId="33E05BED" w14:textId="77777777" w:rsidR="008B0EB7" w:rsidRPr="00881597" w:rsidRDefault="008B0EB7">
      <w:pPr>
        <w:rPr>
          <w:rFonts w:ascii="Karla" w:eastAsia="Karla" w:hAnsi="Karla" w:cs="Karla"/>
          <w:lang w:val="fr-FR"/>
        </w:rPr>
      </w:pPr>
      <w:bookmarkStart w:id="1" w:name="_heading=h.i6kbx9ouvypi" w:colFirst="0" w:colLast="0"/>
      <w:bookmarkEnd w:id="1"/>
    </w:p>
    <w:p w14:paraId="41335496" w14:textId="1118550F" w:rsidR="008B0EB7" w:rsidRPr="00881597" w:rsidRDefault="00000000">
      <w:pPr>
        <w:rPr>
          <w:rFonts w:ascii="Karla" w:eastAsia="Karla" w:hAnsi="Karla" w:cs="Karla"/>
          <w:lang w:val="fr-FR"/>
        </w:rPr>
      </w:pPr>
      <w:bookmarkStart w:id="2" w:name="_heading=h.a2yx07br1sbf" w:colFirst="0" w:colLast="0"/>
      <w:bookmarkEnd w:id="2"/>
      <w:r w:rsidRPr="00881597">
        <w:rPr>
          <w:rFonts w:ascii="Karla" w:eastAsia="Karla" w:hAnsi="Karla" w:cs="Karla"/>
          <w:lang w:val="fr-FR"/>
        </w:rPr>
        <w:t xml:space="preserve">Outre ces étapes de production, le projet de minerai mixte TFM a atteint tous les objectifs de production et de qualité dans les délais prévus, et d'importantes étapes d'exploration en profondeur ont été franchies à la fois sur les sites TFM et KFM. </w:t>
      </w:r>
      <w:r w:rsidR="00674CD2" w:rsidRPr="00881597">
        <w:rPr>
          <w:rFonts w:ascii="Karla" w:eastAsia="Karla" w:hAnsi="Karla" w:cs="Karla"/>
          <w:lang w:val="fr-FR"/>
        </w:rPr>
        <w:t xml:space="preserve">En complément de ces réalisations opérationnelles, CMOC a signé le </w:t>
      </w:r>
      <w:r w:rsidR="00674CD2" w:rsidRPr="00881597">
        <w:rPr>
          <w:rFonts w:ascii="Karla" w:eastAsia="Karla" w:hAnsi="Karla" w:cs="Karla"/>
          <w:b/>
          <w:bCs/>
          <w:lang w:val="fr-FR"/>
        </w:rPr>
        <w:t xml:space="preserve">projet hydroélectrique </w:t>
      </w:r>
      <w:proofErr w:type="spellStart"/>
      <w:r w:rsidR="00674CD2" w:rsidRPr="00881597">
        <w:rPr>
          <w:rFonts w:ascii="Karla" w:eastAsia="Karla" w:hAnsi="Karla" w:cs="Karla"/>
          <w:b/>
          <w:bCs/>
          <w:lang w:val="fr-FR"/>
        </w:rPr>
        <w:t>Heshima</w:t>
      </w:r>
      <w:proofErr w:type="spellEnd"/>
      <w:r w:rsidR="00674CD2" w:rsidRPr="00881597">
        <w:rPr>
          <w:rFonts w:ascii="Karla" w:eastAsia="Karla" w:hAnsi="Karla" w:cs="Karla"/>
          <w:b/>
          <w:bCs/>
          <w:lang w:val="fr-FR"/>
        </w:rPr>
        <w:t xml:space="preserve"> de 200 MW </w:t>
      </w:r>
      <w:r w:rsidR="00674CD2" w:rsidRPr="00881597">
        <w:rPr>
          <w:rFonts w:ascii="Karla" w:eastAsia="Karla" w:hAnsi="Karla" w:cs="Karla"/>
          <w:lang w:val="fr-FR"/>
        </w:rPr>
        <w:t>en République démocratique du Congo, renforçant ainsi l'infrastructure locale et la sécurité énergétique.</w:t>
      </w:r>
    </w:p>
    <w:p w14:paraId="6940CEE3" w14:textId="77777777" w:rsidR="008B0EB7" w:rsidRPr="00881597" w:rsidRDefault="008B0EB7">
      <w:pPr>
        <w:rPr>
          <w:rFonts w:ascii="Karla" w:eastAsia="Karla" w:hAnsi="Karla" w:cs="Karla"/>
          <w:lang w:val="fr-FR"/>
        </w:rPr>
      </w:pPr>
    </w:p>
    <w:p w14:paraId="6E60DCBA" w14:textId="77777777" w:rsidR="00D422D3" w:rsidRPr="00881597" w:rsidRDefault="00D422D3" w:rsidP="00D422D3">
      <w:pPr>
        <w:rPr>
          <w:rFonts w:ascii="Karla" w:eastAsia="Karla" w:hAnsi="Karla" w:cs="Karla"/>
          <w:bCs/>
          <w:i/>
          <w:iCs/>
          <w:sz w:val="18"/>
          <w:szCs w:val="18"/>
          <w:lang w:val="fr-FR"/>
        </w:rPr>
      </w:pPr>
      <w:r w:rsidRPr="00881597">
        <w:rPr>
          <w:rFonts w:ascii="Karla" w:eastAsia="Karla" w:hAnsi="Karla" w:cs="Karla"/>
          <w:bCs/>
          <w:i/>
          <w:iCs/>
          <w:sz w:val="18"/>
          <w:szCs w:val="18"/>
          <w:lang w:val="fr-FR"/>
        </w:rPr>
        <w:t>Tous les taux de variation sont exprimés en glissement annuel.</w:t>
      </w:r>
    </w:p>
    <w:p w14:paraId="6821A918" w14:textId="77777777" w:rsidR="00D422D3" w:rsidRPr="00881597" w:rsidRDefault="00D422D3">
      <w:pPr>
        <w:rPr>
          <w:rFonts w:ascii="Karla" w:eastAsia="Karla" w:hAnsi="Karla" w:cs="Karla"/>
          <w:lang w:val="fr-FR"/>
        </w:rPr>
      </w:pPr>
    </w:p>
    <w:p w14:paraId="764DD6D8" w14:textId="18407B4C" w:rsidR="008B0EB7" w:rsidRPr="00881597" w:rsidRDefault="00000000">
      <w:pPr>
        <w:rPr>
          <w:rFonts w:ascii="Karla" w:eastAsia="Karla" w:hAnsi="Karla" w:cs="Karla"/>
          <w:b/>
          <w:lang w:val="fr-FR"/>
        </w:rPr>
      </w:pPr>
      <w:r w:rsidRPr="00881597">
        <w:rPr>
          <w:rFonts w:ascii="Karla" w:eastAsia="Karla" w:hAnsi="Karla" w:cs="Karla"/>
          <w:b/>
          <w:lang w:val="fr-FR"/>
        </w:rPr>
        <w:t>L'impact ESG</w:t>
      </w:r>
    </w:p>
    <w:p w14:paraId="19CC1D1D" w14:textId="1459C642" w:rsidR="00DE3043" w:rsidRPr="00881597" w:rsidRDefault="00000000">
      <w:pPr>
        <w:rPr>
          <w:rFonts w:ascii="Karla" w:eastAsia="Karla" w:hAnsi="Karla" w:cs="Karla"/>
          <w:lang w:val="fr-FR"/>
        </w:rPr>
      </w:pPr>
      <w:bookmarkStart w:id="3" w:name="_heading=h.vmiqvdvx5t3s" w:colFirst="0" w:colLast="0"/>
      <w:bookmarkEnd w:id="3"/>
      <w:r w:rsidRPr="00881597">
        <w:rPr>
          <w:rFonts w:ascii="Karla" w:eastAsia="Karla" w:hAnsi="Karla" w:cs="Karla"/>
          <w:lang w:val="fr-FR"/>
        </w:rPr>
        <w:br/>
      </w:r>
      <w:r w:rsidR="00881597" w:rsidRPr="00881597">
        <w:rPr>
          <w:rFonts w:ascii="Karla" w:eastAsia="Karla" w:hAnsi="Karla" w:cs="Karla"/>
          <w:lang w:val="fr-FR"/>
        </w:rPr>
        <w:t xml:space="preserve">CMOC a confirmé son engagement en matière de développement durable. Maintien de la </w:t>
      </w:r>
      <w:r w:rsidRPr="00881597">
        <w:rPr>
          <w:rFonts w:ascii="Karla" w:eastAsia="Karla" w:hAnsi="Karla" w:cs="Karla"/>
          <w:b/>
          <w:lang w:val="fr-FR"/>
        </w:rPr>
        <w:t xml:space="preserve">note </w:t>
      </w:r>
      <w:r w:rsidR="003E1320" w:rsidRPr="00881597">
        <w:rPr>
          <w:rFonts w:ascii="Karla" w:eastAsia="Karla" w:hAnsi="Karla" w:cs="Karla"/>
          <w:b/>
          <w:lang w:val="fr-FR"/>
        </w:rPr>
        <w:t>AA d</w:t>
      </w:r>
      <w:r w:rsidR="00DE3043" w:rsidRPr="00881597">
        <w:rPr>
          <w:rFonts w:ascii="Karla" w:eastAsia="Karla" w:hAnsi="Karla" w:cs="Karla"/>
          <w:b/>
          <w:lang w:val="fr-FR"/>
        </w:rPr>
        <w:t xml:space="preserve">u classement </w:t>
      </w:r>
      <w:r w:rsidRPr="00881597">
        <w:rPr>
          <w:rFonts w:ascii="Karla" w:eastAsia="Karla" w:hAnsi="Karla" w:cs="Karla"/>
          <w:b/>
          <w:lang w:val="fr-FR"/>
        </w:rPr>
        <w:t xml:space="preserve">ESG </w:t>
      </w:r>
      <w:r w:rsidR="003E1320" w:rsidRPr="00881597">
        <w:rPr>
          <w:rFonts w:ascii="Karla" w:eastAsia="Karla" w:hAnsi="Karla" w:cs="Karla"/>
          <w:b/>
          <w:lang w:val="fr-FR"/>
        </w:rPr>
        <w:t>de MSCI</w:t>
      </w:r>
      <w:r w:rsidRPr="00881597">
        <w:rPr>
          <w:rFonts w:ascii="Karla" w:eastAsia="Karla" w:hAnsi="Karla" w:cs="Karla"/>
          <w:vertAlign w:val="superscript"/>
          <w:lang w:val="fr-FR"/>
        </w:rPr>
        <w:footnoteReference w:id="1"/>
      </w:r>
      <w:r w:rsidR="00DE3043" w:rsidRPr="00881597">
        <w:rPr>
          <w:rFonts w:ascii="Karla" w:eastAsia="Karla" w:hAnsi="Karla" w:cs="Karla"/>
          <w:lang w:val="fr-FR"/>
        </w:rPr>
        <w:t>, c</w:t>
      </w:r>
      <w:r w:rsidRPr="00881597">
        <w:rPr>
          <w:rFonts w:ascii="Karla" w:eastAsia="Karla" w:hAnsi="Karla" w:cs="Karla"/>
          <w:lang w:val="fr-FR"/>
        </w:rPr>
        <w:t>e qui la place dans les 13 % supérieurs des entreprises mondiales de métaux non ferreux</w:t>
      </w:r>
      <w:r w:rsidR="00DE3043" w:rsidRPr="00881597">
        <w:rPr>
          <w:rFonts w:ascii="Karla" w:eastAsia="Karla" w:hAnsi="Karla" w:cs="Karla"/>
          <w:lang w:val="fr-FR"/>
        </w:rPr>
        <w:t>. Le groupe a également obtenu</w:t>
      </w:r>
      <w:r w:rsidRPr="00881597">
        <w:rPr>
          <w:rFonts w:ascii="Karla" w:eastAsia="Karla" w:hAnsi="Karla" w:cs="Karla"/>
          <w:lang w:val="fr-FR"/>
        </w:rPr>
        <w:t xml:space="preserve"> s</w:t>
      </w:r>
      <w:r w:rsidR="00881597" w:rsidRPr="00881597">
        <w:rPr>
          <w:rFonts w:ascii="Karla" w:eastAsia="Karla" w:hAnsi="Karla" w:cs="Karla"/>
          <w:lang w:val="fr-FR"/>
        </w:rPr>
        <w:t xml:space="preserve">a première </w:t>
      </w:r>
      <w:r w:rsidRPr="00881597">
        <w:rPr>
          <w:rFonts w:ascii="Karla" w:eastAsia="Karla" w:hAnsi="Karla" w:cs="Karla"/>
          <w:lang w:val="fr-FR"/>
        </w:rPr>
        <w:t xml:space="preserve">inclusion dans l'indice </w:t>
      </w:r>
      <w:r w:rsidRPr="00881597">
        <w:rPr>
          <w:rFonts w:ascii="Karla" w:eastAsia="Karla" w:hAnsi="Karla" w:cs="Karla"/>
          <w:b/>
          <w:bCs/>
          <w:lang w:val="fr-FR"/>
        </w:rPr>
        <w:t>FTSE4Good</w:t>
      </w:r>
      <w:r w:rsidRPr="00881597">
        <w:rPr>
          <w:rFonts w:ascii="Karla" w:eastAsia="Karla" w:hAnsi="Karla" w:cs="Karla"/>
          <w:vertAlign w:val="superscript"/>
          <w:lang w:val="fr-FR"/>
        </w:rPr>
        <w:footnoteReference w:id="2"/>
      </w:r>
      <w:r w:rsidRPr="00881597">
        <w:rPr>
          <w:rFonts w:ascii="Karla" w:eastAsia="Karla" w:hAnsi="Karla" w:cs="Karla"/>
          <w:lang w:val="fr-FR"/>
        </w:rPr>
        <w:t xml:space="preserve"> . </w:t>
      </w:r>
      <w:r w:rsidR="00DE3043" w:rsidRPr="00881597">
        <w:rPr>
          <w:rFonts w:ascii="Karla" w:eastAsia="Karla" w:hAnsi="Karla" w:cs="Karla"/>
          <w:lang w:val="fr-FR"/>
        </w:rPr>
        <w:t>L’intensité carbone de sa production de cuivre demeure inférieure à celle de 70</w:t>
      </w:r>
      <w:r w:rsidR="00DE3043" w:rsidRPr="00881597">
        <w:rPr>
          <w:rFonts w:ascii="Times New Roman" w:eastAsia="Karla" w:hAnsi="Times New Roman" w:cs="Times New Roman"/>
          <w:lang w:val="fr-FR"/>
        </w:rPr>
        <w:t> </w:t>
      </w:r>
      <w:r w:rsidR="00DE3043" w:rsidRPr="00881597">
        <w:rPr>
          <w:rFonts w:ascii="Karla" w:eastAsia="Karla" w:hAnsi="Karla" w:cs="Karla"/>
          <w:lang w:val="fr-FR"/>
        </w:rPr>
        <w:t>% de ses pairs</w:t>
      </w:r>
      <w:r w:rsidR="00881597" w:rsidRPr="00881597">
        <w:rPr>
          <w:rFonts w:ascii="Karla" w:eastAsia="Karla" w:hAnsi="Karla" w:cs="Karla"/>
          <w:lang w:val="fr-FR"/>
        </w:rPr>
        <w:t>.</w:t>
      </w:r>
      <w:r w:rsidR="00DE3043" w:rsidRPr="00881597">
        <w:rPr>
          <w:rFonts w:ascii="Karla" w:eastAsia="Karla" w:hAnsi="Karla" w:cs="Karla"/>
          <w:lang w:val="fr-FR"/>
        </w:rPr>
        <w:t xml:space="preserve"> </w:t>
      </w:r>
      <w:r w:rsidR="00881597" w:rsidRPr="00881597">
        <w:rPr>
          <w:rFonts w:ascii="Karla" w:eastAsia="Karla" w:hAnsi="Karla" w:cs="Karla"/>
          <w:lang w:val="fr-FR"/>
        </w:rPr>
        <w:t>Le groupe a également publié l’intégralité de ses émissions Scope 3, illustrant un niveau inédit de transparence environnementale.</w:t>
      </w:r>
    </w:p>
    <w:p w14:paraId="4A72AD46" w14:textId="77777777" w:rsidR="00881597" w:rsidRPr="00881597" w:rsidRDefault="00881597">
      <w:pPr>
        <w:rPr>
          <w:rFonts w:ascii="Karla" w:eastAsia="Karla" w:hAnsi="Karla" w:cs="Karla"/>
          <w:lang w:val="fr-FR"/>
        </w:rPr>
      </w:pPr>
    </w:p>
    <w:p w14:paraId="0603DC12" w14:textId="1B2724C2" w:rsidR="00DE3043" w:rsidRPr="00881597" w:rsidRDefault="00DE3043" w:rsidP="00DE3043">
      <w:pPr>
        <w:rPr>
          <w:rFonts w:ascii="Karla" w:eastAsia="Karla" w:hAnsi="Karla" w:cs="Karla"/>
          <w:lang w:val="fr-FR"/>
        </w:rPr>
      </w:pPr>
      <w:r w:rsidRPr="00881597">
        <w:rPr>
          <w:rFonts w:ascii="Karla" w:eastAsia="Karla" w:hAnsi="Karla" w:cs="Karla"/>
          <w:lang w:val="fr-FR"/>
        </w:rPr>
        <w:lastRenderedPageBreak/>
        <w:t>Au-delà de ses performances environnementales, CMOC a généré cette an</w:t>
      </w:r>
      <w:r w:rsidR="00881597">
        <w:rPr>
          <w:rFonts w:ascii="Karla" w:eastAsia="Karla" w:hAnsi="Karla" w:cs="Karla"/>
          <w:lang w:val="fr-FR"/>
        </w:rPr>
        <w:t>n</w:t>
      </w:r>
      <w:r w:rsidRPr="00881597">
        <w:rPr>
          <w:rFonts w:ascii="Karla" w:eastAsia="Karla" w:hAnsi="Karla" w:cs="Karla"/>
          <w:lang w:val="fr-FR"/>
        </w:rPr>
        <w:t xml:space="preserve">ée </w:t>
      </w:r>
      <w:r w:rsidRPr="00881597">
        <w:rPr>
          <w:rFonts w:ascii="Karla" w:eastAsia="Karla" w:hAnsi="Karla" w:cs="Karla"/>
          <w:b/>
          <w:bCs/>
          <w:lang w:val="fr-FR"/>
        </w:rPr>
        <w:t>26,77</w:t>
      </w:r>
      <w:r w:rsidRPr="00881597">
        <w:rPr>
          <w:rFonts w:ascii="Times New Roman" w:eastAsia="Karla" w:hAnsi="Times New Roman" w:cs="Times New Roman"/>
          <w:b/>
          <w:bCs/>
          <w:lang w:val="fr-FR"/>
        </w:rPr>
        <w:t> </w:t>
      </w:r>
      <w:r w:rsidRPr="00881597">
        <w:rPr>
          <w:rFonts w:ascii="Karla" w:eastAsia="Karla" w:hAnsi="Karla" w:cs="Karla"/>
          <w:b/>
          <w:bCs/>
          <w:lang w:val="fr-FR"/>
        </w:rPr>
        <w:t xml:space="preserve">milliards </w:t>
      </w:r>
      <w:r w:rsidR="00881597" w:rsidRPr="00881597">
        <w:rPr>
          <w:rFonts w:ascii="Karla" w:eastAsia="Karla" w:hAnsi="Karla" w:cs="Karla"/>
          <w:b/>
          <w:bCs/>
          <w:lang w:val="fr-FR"/>
        </w:rPr>
        <w:t>USD de</w:t>
      </w:r>
      <w:r w:rsidRPr="00881597">
        <w:rPr>
          <w:rFonts w:ascii="Karla" w:eastAsia="Karla" w:hAnsi="Karla" w:cs="Karla"/>
          <w:b/>
          <w:bCs/>
          <w:lang w:val="fr-FR"/>
        </w:rPr>
        <w:t xml:space="preserve"> valeur pour l’économie mondiale</w:t>
      </w:r>
      <w:r w:rsidRPr="00881597">
        <w:rPr>
          <w:rFonts w:ascii="Karla" w:eastAsia="Karla" w:hAnsi="Karla" w:cs="Karla"/>
          <w:lang w:val="fr-FR"/>
        </w:rPr>
        <w:t xml:space="preserve"> et investi 40,92</w:t>
      </w:r>
      <w:r w:rsidRPr="00881597">
        <w:rPr>
          <w:rFonts w:ascii="Times New Roman" w:eastAsia="Karla" w:hAnsi="Times New Roman" w:cs="Times New Roman"/>
          <w:lang w:val="fr-FR"/>
        </w:rPr>
        <w:t> </w:t>
      </w:r>
      <w:r w:rsidRPr="00881597">
        <w:rPr>
          <w:rFonts w:ascii="Karla" w:eastAsia="Karla" w:hAnsi="Karla" w:cs="Karla"/>
          <w:lang w:val="fr-FR"/>
        </w:rPr>
        <w:t>millions USD dans des programmes de développement communautaire, confirmant son rôle d’entreprise citoyenne à fort impact social.</w:t>
      </w:r>
    </w:p>
    <w:p w14:paraId="4BFFE7F2" w14:textId="77777777" w:rsidR="00DE3043" w:rsidRPr="00881597" w:rsidRDefault="00DE3043">
      <w:pPr>
        <w:rPr>
          <w:rFonts w:ascii="Karla" w:eastAsia="Karla" w:hAnsi="Karla" w:cs="Karla"/>
          <w:lang w:val="fr-FR"/>
        </w:rPr>
      </w:pPr>
    </w:p>
    <w:p w14:paraId="6C130B8E" w14:textId="77777777" w:rsidR="00881597" w:rsidRDefault="00DE3043">
      <w:pPr>
        <w:rPr>
          <w:rFonts w:ascii="Karla" w:eastAsia="Karla" w:hAnsi="Karla" w:cs="Karla"/>
          <w:lang w:val="fr-FR"/>
        </w:rPr>
      </w:pPr>
      <w:r w:rsidRPr="00881597">
        <w:rPr>
          <w:rFonts w:ascii="Karla" w:eastAsia="Karla" w:hAnsi="Karla" w:cs="Karla"/>
          <w:lang w:val="fr-FR"/>
        </w:rPr>
        <w:t xml:space="preserve">2024 a été une année </w:t>
      </w:r>
      <w:r w:rsidR="00881597" w:rsidRPr="00881597">
        <w:rPr>
          <w:rFonts w:ascii="Karla" w:eastAsia="Karla" w:hAnsi="Karla" w:cs="Karla"/>
          <w:lang w:val="fr-FR"/>
        </w:rPr>
        <w:t>charnière</w:t>
      </w:r>
      <w:r w:rsidRPr="00881597">
        <w:rPr>
          <w:rFonts w:ascii="Karla" w:eastAsia="Karla" w:hAnsi="Karla" w:cs="Karla"/>
          <w:lang w:val="fr-FR"/>
        </w:rPr>
        <w:t xml:space="preserve"> pour CMOC, alliant résultats financiers et opérationnels records et renforcement de la solidité de son portefeuille diversifié. Pour les années à venir, l’entreprise reste résolument tournée vers la croissance, l’approfondissement de ses engagements ESG et la création de valeur durable pour l’ensemble de ses parties prenantes.</w:t>
      </w:r>
    </w:p>
    <w:p w14:paraId="47AFEBE9" w14:textId="1CC27BC6" w:rsidR="00256E56" w:rsidRPr="00881597" w:rsidRDefault="00256E56">
      <w:pPr>
        <w:rPr>
          <w:rFonts w:ascii="Karla" w:eastAsia="Karla" w:hAnsi="Karla" w:cs="Karla"/>
          <w:lang w:val="fr-FR"/>
        </w:rPr>
      </w:pPr>
      <w:r w:rsidRPr="00881597">
        <w:rPr>
          <w:rFonts w:ascii="Karla" w:eastAsia="Karla" w:hAnsi="Karla" w:cs="Karla"/>
          <w:lang w:val="fr-FR"/>
        </w:rPr>
        <w:br/>
      </w:r>
    </w:p>
    <w:p w14:paraId="57FA2360" w14:textId="77777777" w:rsidR="008B0EB7" w:rsidRPr="00881597" w:rsidRDefault="00000000">
      <w:pPr>
        <w:rPr>
          <w:rFonts w:ascii="Karla" w:eastAsia="Karla" w:hAnsi="Karla" w:cs="Karla"/>
          <w:b/>
          <w:lang w:val="fr-FR"/>
        </w:rPr>
      </w:pPr>
      <w:r w:rsidRPr="00881597">
        <w:rPr>
          <w:rFonts w:ascii="Karla" w:eastAsia="Karla" w:hAnsi="Karla" w:cs="Karla"/>
          <w:b/>
          <w:lang w:val="fr-FR"/>
        </w:rPr>
        <w:t>À propos du CMOC</w:t>
      </w:r>
    </w:p>
    <w:p w14:paraId="065D3684" w14:textId="77777777" w:rsidR="00881597" w:rsidRDefault="00881597">
      <w:pPr>
        <w:rPr>
          <w:rFonts w:ascii="Karla" w:eastAsia="Karla" w:hAnsi="Karla" w:cs="Karla"/>
          <w:lang w:val="fr-FR"/>
        </w:rPr>
      </w:pPr>
    </w:p>
    <w:p w14:paraId="50EBC8C2" w14:textId="77777777" w:rsidR="00881597" w:rsidRDefault="00881597" w:rsidP="00881597">
      <w:pPr>
        <w:rPr>
          <w:rFonts w:ascii="Karla" w:eastAsia="Karla" w:hAnsi="Karla" w:cs="Karla"/>
          <w:lang w:val="fr-FR"/>
        </w:rPr>
      </w:pPr>
      <w:r w:rsidRPr="00881597">
        <w:rPr>
          <w:rFonts w:ascii="Karla" w:eastAsia="Karla" w:hAnsi="Karla" w:cs="Karla"/>
          <w:lang w:val="fr-FR"/>
        </w:rPr>
        <w:t>CMOC Group Limited a été fondée en 1969 et est une société privée cotée à la bourse de Hong Kong en 2007 et à la bourse de Shanghai en 2012. CMOC est une société internationale spécialisée dans l'exploration, l'exploitation minière, le traitement, le raffinage, la commercialisation et le commerce des métaux rares. Ses principaux actifs et opérations sont situés en Asie, en Afrique, en Amérique du Sud et en Europe. La société est l'un des plus grands producteurs mondiaux de tungstène, de molybdène et de niobium, le plus grand producteur de cobalt et l'un des principaux producteurs mondiaux de cuivre. Elle est également le deuxième plus grand producteur d'engrais phosphatés au Brésil. En ce qui concerne ses activités commerciales, l'entreprise figure parmi les trois principaux négociants mondiaux de métaux de base. Conformément à son engagement en faveur d'un impact environnemental et social positif, l'entreprise investit massivement dans des initiatives ESG (environnementales, sociales et de gouvernance), ce qui a permis la création de plus de 32 000 emplois.</w:t>
      </w:r>
    </w:p>
    <w:p w14:paraId="614DB8BD" w14:textId="77777777" w:rsidR="00881597" w:rsidRPr="00881597" w:rsidRDefault="00881597" w:rsidP="00881597">
      <w:pPr>
        <w:rPr>
          <w:rFonts w:ascii="Karla" w:eastAsia="Karla" w:hAnsi="Karla" w:cs="Karla"/>
          <w:lang w:val="fr-FR"/>
        </w:rPr>
      </w:pPr>
    </w:p>
    <w:p w14:paraId="7C1D1D01" w14:textId="77777777" w:rsidR="00881597" w:rsidRPr="00881597" w:rsidRDefault="00881597">
      <w:pPr>
        <w:rPr>
          <w:rFonts w:ascii="Karla" w:eastAsia="Karla" w:hAnsi="Karla" w:cs="Karla"/>
          <w:lang w:val="fr-FR"/>
        </w:rPr>
      </w:pPr>
    </w:p>
    <w:sectPr w:rsidR="00881597" w:rsidRPr="0088159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A6D71" w14:textId="77777777" w:rsidR="002E1F5C" w:rsidRDefault="002E1F5C">
      <w:r>
        <w:separator/>
      </w:r>
    </w:p>
  </w:endnote>
  <w:endnote w:type="continuationSeparator" w:id="0">
    <w:p w14:paraId="5E869A05" w14:textId="77777777" w:rsidR="002E1F5C" w:rsidRDefault="002E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22D6CF7-4564-2F4A-AF6F-9DC498F96E22}"/>
  </w:font>
  <w:font w:name="Times New Roman">
    <w:panose1 w:val="02020603050405020304"/>
    <w:charset w:val="00"/>
    <w:family w:val="roman"/>
    <w:pitch w:val="variable"/>
    <w:sig w:usb0="E0002EFF" w:usb1="C000785B" w:usb2="00000009" w:usb3="00000000" w:csb0="000001FF" w:csb1="00000000"/>
    <w:embedRegular r:id="rId2" w:fontKey="{E01F8DDC-2986-634E-BD7D-5DC6483F714E}"/>
    <w:embedBold r:id="rId3" w:fontKey="{BCC7F6CF-BCC0-9D40-83DB-98FCC3C73397}"/>
    <w:embedItalic r:id="rId4" w:fontKey="{328BB63B-24AE-C147-918B-DF8D73966EAD}"/>
  </w:font>
  <w:font w:name="Courier New">
    <w:panose1 w:val="02070309020205020404"/>
    <w:charset w:val="00"/>
    <w:family w:val="modern"/>
    <w:pitch w:val="fixed"/>
    <w:sig w:usb0="E0002AFF" w:usb1="C0007843" w:usb2="00000009" w:usb3="00000000" w:csb0="000001FF" w:csb1="00000000"/>
    <w:embedRegular r:id="rId5" w:fontKey="{F4CFF545-095F-0D42-8CBB-14856983EAC4}"/>
  </w:font>
  <w:font w:name="Wingdings">
    <w:panose1 w:val="05000000000000000000"/>
    <w:charset w:val="4D"/>
    <w:family w:val="decorative"/>
    <w:pitch w:val="variable"/>
    <w:sig w:usb0="00000003" w:usb1="00000000" w:usb2="00000000" w:usb3="00000000" w:csb0="80000001" w:csb1="00000000"/>
    <w:embedRegular r:id="rId6" w:fontKey="{55E216D4-1D0D-F947-94AE-87F642D5E16B}"/>
  </w:font>
  <w:font w:name="Calibri">
    <w:panose1 w:val="020F0502020204030204"/>
    <w:charset w:val="00"/>
    <w:family w:val="swiss"/>
    <w:pitch w:val="variable"/>
    <w:sig w:usb0="E4002EFF" w:usb1="C200247B" w:usb2="00000009" w:usb3="00000000" w:csb0="000001FF" w:csb1="00000000"/>
    <w:embedRegular r:id="rId7" w:fontKey="{B5004A2D-EB59-1241-A6C7-4F1F971DF398}"/>
    <w:embedBold r:id="rId8" w:fontKey="{ADBCF573-7C96-874D-B489-9D67D599738B}"/>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9" w:fontKey="{55C34A74-719C-1442-9F7E-E7FBCAB4A372}"/>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10" w:fontKey="{CFCB6E1A-B5A0-3342-8753-71740E3D5C33}"/>
    <w:embedItalic r:id="rId11" w:fontKey="{F05B5C4B-6211-8849-8FBD-2727DCC46ECE}"/>
  </w:font>
  <w:font w:name="Karla">
    <w:panose1 w:val="00000000000000000000"/>
    <w:charset w:val="4D"/>
    <w:family w:val="auto"/>
    <w:pitch w:val="variable"/>
    <w:sig w:usb0="A00000EF" w:usb1="4000205B" w:usb2="00000000" w:usb3="00000000" w:csb0="00000093" w:csb1="00000000"/>
    <w:embedRegular r:id="rId12" w:fontKey="{3E6D77DF-7981-E843-8298-75EB2CFB57D8}"/>
    <w:embedBold r:id="rId13" w:fontKey="{2F51D66C-15B8-F542-9176-85243C3BBAEC}"/>
    <w:embedItalic r:id="rId14" w:fontKey="{3854B713-AC90-754B-BE4D-4235B2FDBB75}"/>
    <w:embedBoldItalic r:id="rId15" w:fontKey="{90F7433D-7C71-C14E-B566-5B9DF036339E}"/>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8C63D" w14:textId="77777777" w:rsidR="002E1F5C" w:rsidRDefault="002E1F5C">
      <w:r>
        <w:separator/>
      </w:r>
    </w:p>
  </w:footnote>
  <w:footnote w:type="continuationSeparator" w:id="0">
    <w:p w14:paraId="716CBE5A" w14:textId="77777777" w:rsidR="002E1F5C" w:rsidRDefault="002E1F5C">
      <w:r>
        <w:continuationSeparator/>
      </w:r>
    </w:p>
  </w:footnote>
  <w:footnote w:id="1">
    <w:p w14:paraId="1D135F82" w14:textId="77777777" w:rsidR="008B0EB7" w:rsidRDefault="00000000">
      <w:pPr>
        <w:rPr>
          <w:sz w:val="11"/>
          <w:szCs w:val="11"/>
        </w:rPr>
      </w:pPr>
      <w:r>
        <w:rPr>
          <w:vertAlign w:val="superscript"/>
        </w:rPr>
        <w:footnoteRef/>
      </w:r>
      <w:r>
        <w:rPr>
          <w:sz w:val="11"/>
          <w:szCs w:val="11"/>
        </w:rPr>
        <w:t xml:space="preserve"> Avis de non-</w:t>
      </w:r>
      <w:proofErr w:type="spellStart"/>
      <w:proofErr w:type="gramStart"/>
      <w:r>
        <w:rPr>
          <w:sz w:val="11"/>
          <w:szCs w:val="11"/>
        </w:rPr>
        <w:t>responsabilité</w:t>
      </w:r>
      <w:proofErr w:type="spellEnd"/>
      <w:r>
        <w:rPr>
          <w:sz w:val="11"/>
          <w:szCs w:val="11"/>
        </w:rPr>
        <w:t xml:space="preserve"> :</w:t>
      </w:r>
      <w:proofErr w:type="gramEnd"/>
      <w:r>
        <w:rPr>
          <w:sz w:val="11"/>
          <w:szCs w:val="11"/>
        </w:rPr>
        <w:t xml:space="preserve"> L'UTILISATION PAR CMOC DE TOUTES LES DONNÉES DE MSCI ESG RESEARCH LLC OU DE SES AFFILIÉS (" MSCI "), ET L'UTILISATION DES LOGOS, MARQUES DE COMMERCE, MARQUES DE SERVICE OU NOMS D'INDEX DE MSCI DANS LES PRÉSENTES, NE CONSTITUENT PAS UN PARRAINAGE, UNE APPROBATION, UNE RECOMMANDATION OU UNE PROMOTION DE CMOC PAR MSCI. LES SERVICES ET LES DONNÉES DE MSCI SONT LA PROPRIÉTÉ DE MSCI OU DE SES FOURNISSEURS D'INFORMATIONS, ET SONT FOURNIS " TELS QUELS " ET SANS GARANTIE. LES NOMS ET LOGOS DE MSCI SONT DES MARQUES COMMERCIALES OU DES MARQUES DE SERVICE DE MSCI.</w:t>
      </w:r>
    </w:p>
    <w:p w14:paraId="0B43B96C" w14:textId="77777777" w:rsidR="008B0EB7" w:rsidRDefault="008B0EB7">
      <w:pPr>
        <w:rPr>
          <w:sz w:val="20"/>
          <w:szCs w:val="20"/>
        </w:rPr>
      </w:pPr>
    </w:p>
  </w:footnote>
  <w:footnote w:id="2">
    <w:p w14:paraId="402D2ABE" w14:textId="77777777" w:rsidR="008B0EB7" w:rsidRDefault="00000000">
      <w:pPr>
        <w:rPr>
          <w:sz w:val="20"/>
          <w:szCs w:val="20"/>
        </w:rPr>
      </w:pPr>
      <w:r>
        <w:rPr>
          <w:vertAlign w:val="superscript"/>
        </w:rPr>
        <w:footnoteRef/>
      </w:r>
      <w:r>
        <w:rPr>
          <w:sz w:val="11"/>
          <w:szCs w:val="11"/>
        </w:rPr>
        <w:t xml:space="preserve"> </w:t>
      </w:r>
      <w:proofErr w:type="spellStart"/>
      <w:r>
        <w:rPr>
          <w:sz w:val="11"/>
          <w:szCs w:val="11"/>
        </w:rPr>
        <w:t>L'indice</w:t>
      </w:r>
      <w:proofErr w:type="spellEnd"/>
      <w:r>
        <w:rPr>
          <w:sz w:val="11"/>
          <w:szCs w:val="11"/>
        </w:rPr>
        <w:t xml:space="preserve"> FTSE4Good </w:t>
      </w:r>
      <w:proofErr w:type="spellStart"/>
      <w:r>
        <w:rPr>
          <w:sz w:val="11"/>
          <w:szCs w:val="11"/>
        </w:rPr>
        <w:t>est</w:t>
      </w:r>
      <w:proofErr w:type="spellEnd"/>
      <w:r>
        <w:rPr>
          <w:sz w:val="11"/>
          <w:szCs w:val="11"/>
        </w:rPr>
        <w:t xml:space="preserve"> </w:t>
      </w:r>
      <w:proofErr w:type="spellStart"/>
      <w:r>
        <w:rPr>
          <w:sz w:val="11"/>
          <w:szCs w:val="11"/>
        </w:rPr>
        <w:t>une</w:t>
      </w:r>
      <w:proofErr w:type="spellEnd"/>
      <w:r>
        <w:rPr>
          <w:sz w:val="11"/>
          <w:szCs w:val="11"/>
        </w:rPr>
        <w:t xml:space="preserve"> série d'indices boursiers d'investissement éthique conçus pour mesurer la performance des entreprises qui appliquent des pratiques environnementales, sociales et de gouvernance (ESG) spécifiques.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8E5A7E"/>
    <w:multiLevelType w:val="multilevel"/>
    <w:tmpl w:val="9808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3898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EB7"/>
    <w:rsid w:val="001E5132"/>
    <w:rsid w:val="00256E56"/>
    <w:rsid w:val="002E1F5C"/>
    <w:rsid w:val="0037627B"/>
    <w:rsid w:val="003E1320"/>
    <w:rsid w:val="00555CCF"/>
    <w:rsid w:val="00641EAE"/>
    <w:rsid w:val="00646908"/>
    <w:rsid w:val="00674CD2"/>
    <w:rsid w:val="00676CD1"/>
    <w:rsid w:val="0072766F"/>
    <w:rsid w:val="00792809"/>
    <w:rsid w:val="00881597"/>
    <w:rsid w:val="008B0EB7"/>
    <w:rsid w:val="009B4A51"/>
    <w:rsid w:val="00AB3A3B"/>
    <w:rsid w:val="00D422D3"/>
    <w:rsid w:val="00D43719"/>
    <w:rsid w:val="00DC424C"/>
    <w:rsid w:val="00DE3043"/>
    <w:rsid w:val="00E16FC2"/>
    <w:rsid w:val="00E95A2A"/>
    <w:rsid w:val="00EF5F2E"/>
    <w:rsid w:val="00F54A7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A4E75A9"/>
  <w15:docId w15:val="{E2669676-3A86-E84F-8B57-CDADADCE5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1"/>
        <w:szCs w:val="21"/>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3A4"/>
    <w:rPr>
      <w:szCs w:val="22"/>
    </w:rPr>
  </w:style>
  <w:style w:type="paragraph" w:styleId="Titre1">
    <w:name w:val="heading 1"/>
    <w:basedOn w:val="Normal"/>
    <w:link w:val="Titre1Car"/>
    <w:uiPriority w:val="9"/>
    <w:qFormat/>
    <w:rsid w:val="004D56B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semiHidden/>
    <w:unhideWhenUsed/>
    <w:qFormat/>
    <w:rsid w:val="004D56BD"/>
    <w:pPr>
      <w:spacing w:before="100" w:beforeAutospacing="1" w:after="100" w:afterAutospacing="1"/>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EF7F7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4D56BD"/>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rsid w:val="004D56BD"/>
    <w:rPr>
      <w:rFonts w:ascii="Times New Roman" w:eastAsia="Times New Roman" w:hAnsi="Times New Roman" w:cs="Times New Roman"/>
      <w:b/>
      <w:bCs/>
      <w:sz w:val="36"/>
      <w:szCs w:val="36"/>
    </w:rPr>
  </w:style>
  <w:style w:type="character" w:styleId="lev">
    <w:name w:val="Strong"/>
    <w:basedOn w:val="Policepardfaut"/>
    <w:uiPriority w:val="22"/>
    <w:qFormat/>
    <w:rsid w:val="004D56BD"/>
    <w:rPr>
      <w:b/>
      <w:bCs/>
    </w:rPr>
  </w:style>
  <w:style w:type="character" w:styleId="Accentuation">
    <w:name w:val="Emphasis"/>
    <w:basedOn w:val="Policepardfaut"/>
    <w:uiPriority w:val="20"/>
    <w:qFormat/>
    <w:rsid w:val="004D56BD"/>
    <w:rPr>
      <w:i/>
      <w:iCs/>
    </w:rPr>
  </w:style>
  <w:style w:type="paragraph" w:styleId="Paragraphedeliste">
    <w:name w:val="List Paragraph"/>
    <w:basedOn w:val="Normal"/>
    <w:uiPriority w:val="34"/>
    <w:qFormat/>
    <w:rsid w:val="004D56BD"/>
    <w:pPr>
      <w:ind w:left="720"/>
      <w:contextualSpacing/>
    </w:pPr>
  </w:style>
  <w:style w:type="character" w:customStyle="1" w:styleId="Titre3Car">
    <w:name w:val="Titre 3 Car"/>
    <w:basedOn w:val="Policepardfaut"/>
    <w:link w:val="Titre3"/>
    <w:uiPriority w:val="9"/>
    <w:semiHidden/>
    <w:rsid w:val="00EF7F70"/>
    <w:rPr>
      <w:rFonts w:asciiTheme="majorHAnsi" w:eastAsiaTheme="majorEastAsia" w:hAnsiTheme="majorHAnsi" w:cstheme="majorBidi"/>
      <w:color w:val="1F3763" w:themeColor="accent1" w:themeShade="7F"/>
      <w:lang w:val="en-US"/>
    </w:rPr>
  </w:style>
  <w:style w:type="paragraph" w:styleId="En-tte">
    <w:name w:val="header"/>
    <w:basedOn w:val="Normal"/>
    <w:link w:val="En-tteCar"/>
    <w:uiPriority w:val="99"/>
    <w:unhideWhenUsed/>
    <w:rsid w:val="009972C9"/>
    <w:pP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9972C9"/>
    <w:rPr>
      <w:sz w:val="18"/>
      <w:szCs w:val="18"/>
      <w:lang w:val="en-US"/>
    </w:rPr>
  </w:style>
  <w:style w:type="paragraph" w:styleId="Pieddepage">
    <w:name w:val="footer"/>
    <w:basedOn w:val="Normal"/>
    <w:link w:val="PieddepageCar"/>
    <w:uiPriority w:val="99"/>
    <w:unhideWhenUsed/>
    <w:rsid w:val="009972C9"/>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9972C9"/>
    <w:rPr>
      <w:sz w:val="18"/>
      <w:szCs w:val="18"/>
      <w:lang w:val="en-US"/>
    </w:rPr>
  </w:style>
  <w:style w:type="paragraph" w:styleId="Rvision">
    <w:name w:val="Revision"/>
    <w:hidden/>
    <w:uiPriority w:val="99"/>
    <w:semiHidden/>
    <w:rsid w:val="009972C9"/>
    <w:rPr>
      <w:szCs w:val="22"/>
    </w:rPr>
  </w:style>
  <w:style w:type="character" w:styleId="Marquedecommentaire">
    <w:name w:val="annotation reference"/>
    <w:basedOn w:val="Policepardfaut"/>
    <w:uiPriority w:val="99"/>
    <w:semiHidden/>
    <w:unhideWhenUsed/>
    <w:rsid w:val="00722DED"/>
    <w:rPr>
      <w:sz w:val="21"/>
      <w:szCs w:val="21"/>
    </w:rPr>
  </w:style>
  <w:style w:type="paragraph" w:styleId="Commentaire">
    <w:name w:val="annotation text"/>
    <w:basedOn w:val="Normal"/>
    <w:link w:val="CommentaireCar"/>
    <w:uiPriority w:val="99"/>
    <w:unhideWhenUsed/>
    <w:rsid w:val="00722DED"/>
    <w:pPr>
      <w:jc w:val="left"/>
    </w:pPr>
  </w:style>
  <w:style w:type="character" w:customStyle="1" w:styleId="CommentaireCar">
    <w:name w:val="Commentaire Car"/>
    <w:basedOn w:val="Policepardfaut"/>
    <w:link w:val="Commentaire"/>
    <w:uiPriority w:val="99"/>
    <w:rsid w:val="00722DED"/>
    <w:rPr>
      <w:sz w:val="21"/>
      <w:szCs w:val="22"/>
      <w:lang w:val="en-US"/>
    </w:rPr>
  </w:style>
  <w:style w:type="paragraph" w:styleId="Objetducommentaire">
    <w:name w:val="annotation subject"/>
    <w:basedOn w:val="Commentaire"/>
    <w:next w:val="Commentaire"/>
    <w:link w:val="ObjetducommentaireCar"/>
    <w:uiPriority w:val="99"/>
    <w:semiHidden/>
    <w:unhideWhenUsed/>
    <w:rsid w:val="00722DED"/>
    <w:rPr>
      <w:b/>
      <w:bCs/>
    </w:rPr>
  </w:style>
  <w:style w:type="character" w:customStyle="1" w:styleId="ObjetducommentaireCar">
    <w:name w:val="Objet du commentaire Car"/>
    <w:basedOn w:val="CommentaireCar"/>
    <w:link w:val="Objetducommentaire"/>
    <w:uiPriority w:val="99"/>
    <w:semiHidden/>
    <w:rsid w:val="00722DED"/>
    <w:rPr>
      <w:b/>
      <w:bCs/>
      <w:sz w:val="21"/>
      <w:szCs w:val="22"/>
      <w:lang w:val="en-US"/>
    </w:rPr>
  </w:style>
  <w:style w:type="paragraph" w:styleId="Notedebasdepage">
    <w:name w:val="footnote text"/>
    <w:basedOn w:val="Normal"/>
    <w:link w:val="NotedebasdepageCar"/>
    <w:uiPriority w:val="99"/>
    <w:semiHidden/>
    <w:unhideWhenUsed/>
    <w:rsid w:val="00C70E80"/>
    <w:pPr>
      <w:snapToGrid w:val="0"/>
      <w:jc w:val="left"/>
    </w:pPr>
    <w:rPr>
      <w:sz w:val="18"/>
      <w:szCs w:val="18"/>
    </w:rPr>
  </w:style>
  <w:style w:type="character" w:customStyle="1" w:styleId="NotedebasdepageCar">
    <w:name w:val="Note de bas de page Car"/>
    <w:basedOn w:val="Policepardfaut"/>
    <w:link w:val="Notedebasdepage"/>
    <w:uiPriority w:val="99"/>
    <w:semiHidden/>
    <w:rsid w:val="00C70E80"/>
    <w:rPr>
      <w:sz w:val="18"/>
      <w:szCs w:val="18"/>
      <w:lang w:val="en-US"/>
    </w:rPr>
  </w:style>
  <w:style w:type="character" w:styleId="Appelnotedebasdep">
    <w:name w:val="footnote reference"/>
    <w:basedOn w:val="Policepardfaut"/>
    <w:uiPriority w:val="99"/>
    <w:semiHidden/>
    <w:unhideWhenUsed/>
    <w:rsid w:val="00C70E80"/>
    <w:rPr>
      <w:vertAlign w:val="superscrip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22273">
      <w:bodyDiv w:val="1"/>
      <w:marLeft w:val="0"/>
      <w:marRight w:val="0"/>
      <w:marTop w:val="0"/>
      <w:marBottom w:val="0"/>
      <w:divBdr>
        <w:top w:val="none" w:sz="0" w:space="0" w:color="auto"/>
        <w:left w:val="none" w:sz="0" w:space="0" w:color="auto"/>
        <w:bottom w:val="none" w:sz="0" w:space="0" w:color="auto"/>
        <w:right w:val="none" w:sz="0" w:space="0" w:color="auto"/>
      </w:divBdr>
    </w:div>
    <w:div w:id="405883855">
      <w:bodyDiv w:val="1"/>
      <w:marLeft w:val="0"/>
      <w:marRight w:val="0"/>
      <w:marTop w:val="0"/>
      <w:marBottom w:val="0"/>
      <w:divBdr>
        <w:top w:val="none" w:sz="0" w:space="0" w:color="auto"/>
        <w:left w:val="none" w:sz="0" w:space="0" w:color="auto"/>
        <w:bottom w:val="none" w:sz="0" w:space="0" w:color="auto"/>
        <w:right w:val="none" w:sz="0" w:space="0" w:color="auto"/>
      </w:divBdr>
    </w:div>
    <w:div w:id="407769213">
      <w:bodyDiv w:val="1"/>
      <w:marLeft w:val="0"/>
      <w:marRight w:val="0"/>
      <w:marTop w:val="0"/>
      <w:marBottom w:val="0"/>
      <w:divBdr>
        <w:top w:val="none" w:sz="0" w:space="0" w:color="auto"/>
        <w:left w:val="none" w:sz="0" w:space="0" w:color="auto"/>
        <w:bottom w:val="none" w:sz="0" w:space="0" w:color="auto"/>
        <w:right w:val="none" w:sz="0" w:space="0" w:color="auto"/>
      </w:divBdr>
      <w:divsChild>
        <w:div w:id="1441678928">
          <w:marLeft w:val="0"/>
          <w:marRight w:val="0"/>
          <w:marTop w:val="0"/>
          <w:marBottom w:val="0"/>
          <w:divBdr>
            <w:top w:val="none" w:sz="0" w:space="0" w:color="auto"/>
            <w:left w:val="none" w:sz="0" w:space="0" w:color="auto"/>
            <w:bottom w:val="none" w:sz="0" w:space="0" w:color="auto"/>
            <w:right w:val="none" w:sz="0" w:space="0" w:color="auto"/>
          </w:divBdr>
          <w:divsChild>
            <w:div w:id="1676617286">
              <w:marLeft w:val="0"/>
              <w:marRight w:val="0"/>
              <w:marTop w:val="0"/>
              <w:marBottom w:val="0"/>
              <w:divBdr>
                <w:top w:val="none" w:sz="0" w:space="0" w:color="auto"/>
                <w:left w:val="none" w:sz="0" w:space="0" w:color="auto"/>
                <w:bottom w:val="none" w:sz="0" w:space="0" w:color="auto"/>
                <w:right w:val="none" w:sz="0" w:space="0" w:color="auto"/>
              </w:divBdr>
              <w:divsChild>
                <w:div w:id="1071775980">
                  <w:marLeft w:val="0"/>
                  <w:marRight w:val="0"/>
                  <w:marTop w:val="0"/>
                  <w:marBottom w:val="0"/>
                  <w:divBdr>
                    <w:top w:val="none" w:sz="0" w:space="0" w:color="auto"/>
                    <w:left w:val="none" w:sz="0" w:space="0" w:color="auto"/>
                    <w:bottom w:val="none" w:sz="0" w:space="0" w:color="auto"/>
                    <w:right w:val="none" w:sz="0" w:space="0" w:color="auto"/>
                  </w:divBdr>
                  <w:divsChild>
                    <w:div w:id="1607887798">
                      <w:marLeft w:val="0"/>
                      <w:marRight w:val="0"/>
                      <w:marTop w:val="0"/>
                      <w:marBottom w:val="0"/>
                      <w:divBdr>
                        <w:top w:val="none" w:sz="0" w:space="0" w:color="auto"/>
                        <w:left w:val="none" w:sz="0" w:space="0" w:color="auto"/>
                        <w:bottom w:val="none" w:sz="0" w:space="0" w:color="auto"/>
                        <w:right w:val="none" w:sz="0" w:space="0" w:color="auto"/>
                      </w:divBdr>
                      <w:divsChild>
                        <w:div w:id="1611354426">
                          <w:marLeft w:val="0"/>
                          <w:marRight w:val="0"/>
                          <w:marTop w:val="0"/>
                          <w:marBottom w:val="0"/>
                          <w:divBdr>
                            <w:top w:val="none" w:sz="0" w:space="0" w:color="auto"/>
                            <w:left w:val="none" w:sz="0" w:space="0" w:color="auto"/>
                            <w:bottom w:val="none" w:sz="0" w:space="0" w:color="auto"/>
                            <w:right w:val="none" w:sz="0" w:space="0" w:color="auto"/>
                          </w:divBdr>
                          <w:divsChild>
                            <w:div w:id="752243647">
                              <w:marLeft w:val="0"/>
                              <w:marRight w:val="0"/>
                              <w:marTop w:val="0"/>
                              <w:marBottom w:val="0"/>
                              <w:divBdr>
                                <w:top w:val="none" w:sz="0" w:space="0" w:color="auto"/>
                                <w:left w:val="none" w:sz="0" w:space="0" w:color="auto"/>
                                <w:bottom w:val="none" w:sz="0" w:space="0" w:color="auto"/>
                                <w:right w:val="none" w:sz="0" w:space="0" w:color="auto"/>
                              </w:divBdr>
                              <w:divsChild>
                                <w:div w:id="1888494168">
                                  <w:marLeft w:val="0"/>
                                  <w:marRight w:val="0"/>
                                  <w:marTop w:val="0"/>
                                  <w:marBottom w:val="0"/>
                                  <w:divBdr>
                                    <w:top w:val="none" w:sz="0" w:space="0" w:color="auto"/>
                                    <w:left w:val="none" w:sz="0" w:space="0" w:color="auto"/>
                                    <w:bottom w:val="none" w:sz="0" w:space="0" w:color="auto"/>
                                    <w:right w:val="none" w:sz="0" w:space="0" w:color="auto"/>
                                  </w:divBdr>
                                  <w:divsChild>
                                    <w:div w:id="12690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22257">
                          <w:marLeft w:val="0"/>
                          <w:marRight w:val="0"/>
                          <w:marTop w:val="0"/>
                          <w:marBottom w:val="0"/>
                          <w:divBdr>
                            <w:top w:val="none" w:sz="0" w:space="0" w:color="auto"/>
                            <w:left w:val="none" w:sz="0" w:space="0" w:color="auto"/>
                            <w:bottom w:val="none" w:sz="0" w:space="0" w:color="auto"/>
                            <w:right w:val="none" w:sz="0" w:space="0" w:color="auto"/>
                          </w:divBdr>
                          <w:divsChild>
                            <w:div w:id="1851141276">
                              <w:marLeft w:val="0"/>
                              <w:marRight w:val="0"/>
                              <w:marTop w:val="0"/>
                              <w:marBottom w:val="0"/>
                              <w:divBdr>
                                <w:top w:val="none" w:sz="0" w:space="0" w:color="auto"/>
                                <w:left w:val="none" w:sz="0" w:space="0" w:color="auto"/>
                                <w:bottom w:val="none" w:sz="0" w:space="0" w:color="auto"/>
                                <w:right w:val="none" w:sz="0" w:space="0" w:color="auto"/>
                              </w:divBdr>
                              <w:divsChild>
                                <w:div w:id="11999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507606">
      <w:bodyDiv w:val="1"/>
      <w:marLeft w:val="0"/>
      <w:marRight w:val="0"/>
      <w:marTop w:val="0"/>
      <w:marBottom w:val="0"/>
      <w:divBdr>
        <w:top w:val="none" w:sz="0" w:space="0" w:color="auto"/>
        <w:left w:val="none" w:sz="0" w:space="0" w:color="auto"/>
        <w:bottom w:val="none" w:sz="0" w:space="0" w:color="auto"/>
        <w:right w:val="none" w:sz="0" w:space="0" w:color="auto"/>
      </w:divBdr>
      <w:divsChild>
        <w:div w:id="1045446178">
          <w:marLeft w:val="0"/>
          <w:marRight w:val="0"/>
          <w:marTop w:val="0"/>
          <w:marBottom w:val="0"/>
          <w:divBdr>
            <w:top w:val="none" w:sz="0" w:space="0" w:color="auto"/>
            <w:left w:val="none" w:sz="0" w:space="0" w:color="auto"/>
            <w:bottom w:val="none" w:sz="0" w:space="0" w:color="auto"/>
            <w:right w:val="none" w:sz="0" w:space="0" w:color="auto"/>
          </w:divBdr>
          <w:divsChild>
            <w:div w:id="1495489307">
              <w:marLeft w:val="0"/>
              <w:marRight w:val="0"/>
              <w:marTop w:val="0"/>
              <w:marBottom w:val="0"/>
              <w:divBdr>
                <w:top w:val="none" w:sz="0" w:space="0" w:color="auto"/>
                <w:left w:val="none" w:sz="0" w:space="0" w:color="auto"/>
                <w:bottom w:val="none" w:sz="0" w:space="0" w:color="auto"/>
                <w:right w:val="none" w:sz="0" w:space="0" w:color="auto"/>
              </w:divBdr>
              <w:divsChild>
                <w:div w:id="934635042">
                  <w:marLeft w:val="0"/>
                  <w:marRight w:val="0"/>
                  <w:marTop w:val="0"/>
                  <w:marBottom w:val="0"/>
                  <w:divBdr>
                    <w:top w:val="none" w:sz="0" w:space="0" w:color="auto"/>
                    <w:left w:val="none" w:sz="0" w:space="0" w:color="auto"/>
                    <w:bottom w:val="none" w:sz="0" w:space="0" w:color="auto"/>
                    <w:right w:val="none" w:sz="0" w:space="0" w:color="auto"/>
                  </w:divBdr>
                  <w:divsChild>
                    <w:div w:id="1605110819">
                      <w:marLeft w:val="0"/>
                      <w:marRight w:val="0"/>
                      <w:marTop w:val="0"/>
                      <w:marBottom w:val="0"/>
                      <w:divBdr>
                        <w:top w:val="none" w:sz="0" w:space="0" w:color="auto"/>
                        <w:left w:val="none" w:sz="0" w:space="0" w:color="auto"/>
                        <w:bottom w:val="none" w:sz="0" w:space="0" w:color="auto"/>
                        <w:right w:val="none" w:sz="0" w:space="0" w:color="auto"/>
                      </w:divBdr>
                      <w:divsChild>
                        <w:div w:id="1049576479">
                          <w:marLeft w:val="0"/>
                          <w:marRight w:val="0"/>
                          <w:marTop w:val="0"/>
                          <w:marBottom w:val="0"/>
                          <w:divBdr>
                            <w:top w:val="none" w:sz="0" w:space="0" w:color="auto"/>
                            <w:left w:val="none" w:sz="0" w:space="0" w:color="auto"/>
                            <w:bottom w:val="none" w:sz="0" w:space="0" w:color="auto"/>
                            <w:right w:val="none" w:sz="0" w:space="0" w:color="auto"/>
                          </w:divBdr>
                          <w:divsChild>
                            <w:div w:id="501315564">
                              <w:marLeft w:val="0"/>
                              <w:marRight w:val="0"/>
                              <w:marTop w:val="0"/>
                              <w:marBottom w:val="0"/>
                              <w:divBdr>
                                <w:top w:val="none" w:sz="0" w:space="0" w:color="auto"/>
                                <w:left w:val="none" w:sz="0" w:space="0" w:color="auto"/>
                                <w:bottom w:val="none" w:sz="0" w:space="0" w:color="auto"/>
                                <w:right w:val="none" w:sz="0" w:space="0" w:color="auto"/>
                              </w:divBdr>
                              <w:divsChild>
                                <w:div w:id="96601833">
                                  <w:marLeft w:val="0"/>
                                  <w:marRight w:val="0"/>
                                  <w:marTop w:val="0"/>
                                  <w:marBottom w:val="0"/>
                                  <w:divBdr>
                                    <w:top w:val="none" w:sz="0" w:space="0" w:color="auto"/>
                                    <w:left w:val="none" w:sz="0" w:space="0" w:color="auto"/>
                                    <w:bottom w:val="none" w:sz="0" w:space="0" w:color="auto"/>
                                    <w:right w:val="none" w:sz="0" w:space="0" w:color="auto"/>
                                  </w:divBdr>
                                  <w:divsChild>
                                    <w:div w:id="14633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47359">
                          <w:marLeft w:val="0"/>
                          <w:marRight w:val="0"/>
                          <w:marTop w:val="0"/>
                          <w:marBottom w:val="0"/>
                          <w:divBdr>
                            <w:top w:val="none" w:sz="0" w:space="0" w:color="auto"/>
                            <w:left w:val="none" w:sz="0" w:space="0" w:color="auto"/>
                            <w:bottom w:val="none" w:sz="0" w:space="0" w:color="auto"/>
                            <w:right w:val="none" w:sz="0" w:space="0" w:color="auto"/>
                          </w:divBdr>
                          <w:divsChild>
                            <w:div w:id="810558319">
                              <w:marLeft w:val="0"/>
                              <w:marRight w:val="0"/>
                              <w:marTop w:val="0"/>
                              <w:marBottom w:val="0"/>
                              <w:divBdr>
                                <w:top w:val="none" w:sz="0" w:space="0" w:color="auto"/>
                                <w:left w:val="none" w:sz="0" w:space="0" w:color="auto"/>
                                <w:bottom w:val="none" w:sz="0" w:space="0" w:color="auto"/>
                                <w:right w:val="none" w:sz="0" w:space="0" w:color="auto"/>
                              </w:divBdr>
                              <w:divsChild>
                                <w:div w:id="19050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053379">
      <w:bodyDiv w:val="1"/>
      <w:marLeft w:val="0"/>
      <w:marRight w:val="0"/>
      <w:marTop w:val="0"/>
      <w:marBottom w:val="0"/>
      <w:divBdr>
        <w:top w:val="none" w:sz="0" w:space="0" w:color="auto"/>
        <w:left w:val="none" w:sz="0" w:space="0" w:color="auto"/>
        <w:bottom w:val="none" w:sz="0" w:space="0" w:color="auto"/>
        <w:right w:val="none" w:sz="0" w:space="0" w:color="auto"/>
      </w:divBdr>
      <w:divsChild>
        <w:div w:id="1027371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897589">
      <w:bodyDiv w:val="1"/>
      <w:marLeft w:val="0"/>
      <w:marRight w:val="0"/>
      <w:marTop w:val="0"/>
      <w:marBottom w:val="0"/>
      <w:divBdr>
        <w:top w:val="none" w:sz="0" w:space="0" w:color="auto"/>
        <w:left w:val="none" w:sz="0" w:space="0" w:color="auto"/>
        <w:bottom w:val="none" w:sz="0" w:space="0" w:color="auto"/>
        <w:right w:val="none" w:sz="0" w:space="0" w:color="auto"/>
      </w:divBdr>
    </w:div>
    <w:div w:id="1160582001">
      <w:bodyDiv w:val="1"/>
      <w:marLeft w:val="0"/>
      <w:marRight w:val="0"/>
      <w:marTop w:val="0"/>
      <w:marBottom w:val="0"/>
      <w:divBdr>
        <w:top w:val="none" w:sz="0" w:space="0" w:color="auto"/>
        <w:left w:val="none" w:sz="0" w:space="0" w:color="auto"/>
        <w:bottom w:val="none" w:sz="0" w:space="0" w:color="auto"/>
        <w:right w:val="none" w:sz="0" w:space="0" w:color="auto"/>
      </w:divBdr>
      <w:divsChild>
        <w:div w:id="117113678">
          <w:marLeft w:val="0"/>
          <w:marRight w:val="0"/>
          <w:marTop w:val="0"/>
          <w:marBottom w:val="0"/>
          <w:divBdr>
            <w:top w:val="none" w:sz="0" w:space="0" w:color="auto"/>
            <w:left w:val="none" w:sz="0" w:space="0" w:color="auto"/>
            <w:bottom w:val="none" w:sz="0" w:space="0" w:color="auto"/>
            <w:right w:val="none" w:sz="0" w:space="0" w:color="auto"/>
          </w:divBdr>
          <w:divsChild>
            <w:div w:id="57172095">
              <w:marLeft w:val="0"/>
              <w:marRight w:val="0"/>
              <w:marTop w:val="0"/>
              <w:marBottom w:val="0"/>
              <w:divBdr>
                <w:top w:val="none" w:sz="0" w:space="0" w:color="auto"/>
                <w:left w:val="none" w:sz="0" w:space="0" w:color="auto"/>
                <w:bottom w:val="none" w:sz="0" w:space="0" w:color="auto"/>
                <w:right w:val="none" w:sz="0" w:space="0" w:color="auto"/>
              </w:divBdr>
              <w:divsChild>
                <w:div w:id="99617472">
                  <w:marLeft w:val="0"/>
                  <w:marRight w:val="0"/>
                  <w:marTop w:val="0"/>
                  <w:marBottom w:val="0"/>
                  <w:divBdr>
                    <w:top w:val="none" w:sz="0" w:space="0" w:color="auto"/>
                    <w:left w:val="none" w:sz="0" w:space="0" w:color="auto"/>
                    <w:bottom w:val="none" w:sz="0" w:space="0" w:color="auto"/>
                    <w:right w:val="none" w:sz="0" w:space="0" w:color="auto"/>
                  </w:divBdr>
                  <w:divsChild>
                    <w:div w:id="1266645758">
                      <w:marLeft w:val="0"/>
                      <w:marRight w:val="0"/>
                      <w:marTop w:val="0"/>
                      <w:marBottom w:val="0"/>
                      <w:divBdr>
                        <w:top w:val="none" w:sz="0" w:space="0" w:color="auto"/>
                        <w:left w:val="none" w:sz="0" w:space="0" w:color="auto"/>
                        <w:bottom w:val="none" w:sz="0" w:space="0" w:color="auto"/>
                        <w:right w:val="none" w:sz="0" w:space="0" w:color="auto"/>
                      </w:divBdr>
                      <w:divsChild>
                        <w:div w:id="904606869">
                          <w:marLeft w:val="0"/>
                          <w:marRight w:val="0"/>
                          <w:marTop w:val="0"/>
                          <w:marBottom w:val="0"/>
                          <w:divBdr>
                            <w:top w:val="none" w:sz="0" w:space="0" w:color="auto"/>
                            <w:left w:val="none" w:sz="0" w:space="0" w:color="auto"/>
                            <w:bottom w:val="none" w:sz="0" w:space="0" w:color="auto"/>
                            <w:right w:val="none" w:sz="0" w:space="0" w:color="auto"/>
                          </w:divBdr>
                          <w:divsChild>
                            <w:div w:id="50233237">
                              <w:marLeft w:val="0"/>
                              <w:marRight w:val="0"/>
                              <w:marTop w:val="0"/>
                              <w:marBottom w:val="0"/>
                              <w:divBdr>
                                <w:top w:val="none" w:sz="0" w:space="0" w:color="auto"/>
                                <w:left w:val="none" w:sz="0" w:space="0" w:color="auto"/>
                                <w:bottom w:val="none" w:sz="0" w:space="0" w:color="auto"/>
                                <w:right w:val="none" w:sz="0" w:space="0" w:color="auto"/>
                              </w:divBdr>
                              <w:divsChild>
                                <w:div w:id="580994466">
                                  <w:marLeft w:val="0"/>
                                  <w:marRight w:val="0"/>
                                  <w:marTop w:val="0"/>
                                  <w:marBottom w:val="0"/>
                                  <w:divBdr>
                                    <w:top w:val="none" w:sz="0" w:space="0" w:color="auto"/>
                                    <w:left w:val="none" w:sz="0" w:space="0" w:color="auto"/>
                                    <w:bottom w:val="none" w:sz="0" w:space="0" w:color="auto"/>
                                    <w:right w:val="none" w:sz="0" w:space="0" w:color="auto"/>
                                  </w:divBdr>
                                  <w:divsChild>
                                    <w:div w:id="13775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4305">
                          <w:marLeft w:val="0"/>
                          <w:marRight w:val="0"/>
                          <w:marTop w:val="0"/>
                          <w:marBottom w:val="0"/>
                          <w:divBdr>
                            <w:top w:val="none" w:sz="0" w:space="0" w:color="auto"/>
                            <w:left w:val="none" w:sz="0" w:space="0" w:color="auto"/>
                            <w:bottom w:val="none" w:sz="0" w:space="0" w:color="auto"/>
                            <w:right w:val="none" w:sz="0" w:space="0" w:color="auto"/>
                          </w:divBdr>
                          <w:divsChild>
                            <w:div w:id="1124887976">
                              <w:marLeft w:val="0"/>
                              <w:marRight w:val="0"/>
                              <w:marTop w:val="0"/>
                              <w:marBottom w:val="0"/>
                              <w:divBdr>
                                <w:top w:val="none" w:sz="0" w:space="0" w:color="auto"/>
                                <w:left w:val="none" w:sz="0" w:space="0" w:color="auto"/>
                                <w:bottom w:val="none" w:sz="0" w:space="0" w:color="auto"/>
                                <w:right w:val="none" w:sz="0" w:space="0" w:color="auto"/>
                              </w:divBdr>
                              <w:divsChild>
                                <w:div w:id="12052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803948">
      <w:bodyDiv w:val="1"/>
      <w:marLeft w:val="0"/>
      <w:marRight w:val="0"/>
      <w:marTop w:val="0"/>
      <w:marBottom w:val="0"/>
      <w:divBdr>
        <w:top w:val="none" w:sz="0" w:space="0" w:color="auto"/>
        <w:left w:val="none" w:sz="0" w:space="0" w:color="auto"/>
        <w:bottom w:val="none" w:sz="0" w:space="0" w:color="auto"/>
        <w:right w:val="none" w:sz="0" w:space="0" w:color="auto"/>
      </w:divBdr>
    </w:div>
    <w:div w:id="1778403436">
      <w:bodyDiv w:val="1"/>
      <w:marLeft w:val="0"/>
      <w:marRight w:val="0"/>
      <w:marTop w:val="0"/>
      <w:marBottom w:val="0"/>
      <w:divBdr>
        <w:top w:val="none" w:sz="0" w:space="0" w:color="auto"/>
        <w:left w:val="none" w:sz="0" w:space="0" w:color="auto"/>
        <w:bottom w:val="none" w:sz="0" w:space="0" w:color="auto"/>
        <w:right w:val="none" w:sz="0" w:space="0" w:color="auto"/>
      </w:divBdr>
    </w:div>
    <w:div w:id="1978533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4xiT9I/QIkZBp9LDEebNlK9lWA==">CgMxLjAyDmgubjI4eGxnbmJlNWthMg5oLmk2a2J4OW91dnlwaTIOaC5hMnl4MDdicjFzYmYyDmgudm1pcXZkdng1dDNzMg5oLm5vaXE2bGJzd2VhZjgAciExU2xvYTl6Ulc2d0dQaUxBc3hlcVhHZmoyRDJSekgxaGc=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670</Words>
  <Characters>3689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keywords>, docId:E680D325498661B48A92493B7311C18F</cp:keywords>
  <cp:lastModifiedBy>Claire  Xue</cp:lastModifiedBy>
  <cp:revision>7</cp:revision>
  <dcterms:created xsi:type="dcterms:W3CDTF">2025-03-27T15:53:00Z</dcterms:created>
  <dcterms:modified xsi:type="dcterms:W3CDTF">2025-04-07T09:44:00Z</dcterms:modified>
</cp:coreProperties>
</file>